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8DFA1">
      <w:pPr>
        <w:snapToGrid w:val="0"/>
        <w:ind w:left="40" w:firstLine="361"/>
        <w:rPr>
          <w:rFonts w:ascii="Times New Roman" w:hAnsi="Times New Roman" w:eastAsiaTheme="minorEastAsia"/>
          <w:b/>
          <w:sz w:val="18"/>
          <w:szCs w:val="18"/>
        </w:rPr>
      </w:pPr>
    </w:p>
    <w:p w14:paraId="3956C155">
      <w:pPr>
        <w:adjustRightInd w:val="0"/>
        <w:snapToGrid w:val="0"/>
        <w:spacing w:line="480" w:lineRule="auto"/>
        <w:jc w:val="center"/>
        <w:rPr>
          <w:rFonts w:ascii="宋体" w:hAnsi="宋体" w:cs="宋体"/>
          <w:b/>
          <w:color w:val="000000"/>
          <w:sz w:val="44"/>
          <w:szCs w:val="44"/>
        </w:rPr>
      </w:pPr>
      <w:r>
        <w:rPr>
          <w:rFonts w:hint="eastAsia" w:ascii="宋体" w:hAnsi="宋体" w:cs="宋体"/>
          <w:b/>
          <w:color w:val="000000"/>
          <w:sz w:val="44"/>
          <w:szCs w:val="44"/>
        </w:rPr>
        <w:t>江苏省水利建设工程有限公司</w:t>
      </w:r>
    </w:p>
    <w:p w14:paraId="4999C296">
      <w:pPr>
        <w:pStyle w:val="9"/>
        <w:spacing w:line="360" w:lineRule="auto"/>
        <w:jc w:val="center"/>
        <w:rPr>
          <w:rFonts w:ascii="Times New Roman" w:hAnsi="Times New Roman" w:cs="Times New Roman"/>
          <w:b/>
          <w:sz w:val="48"/>
          <w:szCs w:val="48"/>
        </w:rPr>
      </w:pPr>
      <w:r>
        <w:rPr>
          <w:rFonts w:hint="eastAsia" w:ascii="Times New Roman" w:hAnsi="Times New Roman" w:cs="Times New Roman"/>
          <w:b/>
          <w:sz w:val="48"/>
          <w:szCs w:val="48"/>
        </w:rPr>
        <w:t>秦淮新河改扩建工程土建及设备安装</w:t>
      </w:r>
    </w:p>
    <w:p w14:paraId="0C9A6887">
      <w:pPr>
        <w:pStyle w:val="9"/>
        <w:spacing w:line="360" w:lineRule="auto"/>
        <w:jc w:val="center"/>
        <w:rPr>
          <w:rFonts w:ascii="Times New Roman" w:hAnsi="Times New Roman" w:cs="Times New Roman"/>
          <w:b/>
          <w:sz w:val="48"/>
          <w:szCs w:val="48"/>
        </w:rPr>
      </w:pPr>
      <w:r>
        <w:rPr>
          <w:rFonts w:hint="eastAsia" w:ascii="Times New Roman" w:hAnsi="Times New Roman" w:cs="Times New Roman"/>
          <w:b/>
          <w:sz w:val="48"/>
          <w:szCs w:val="48"/>
        </w:rPr>
        <w:t>吊装设施</w:t>
      </w:r>
      <w:r>
        <w:rPr>
          <w:rFonts w:ascii="Times New Roman" w:hAnsi="Times New Roman" w:cs="Times New Roman"/>
          <w:b/>
          <w:sz w:val="48"/>
          <w:szCs w:val="48"/>
        </w:rPr>
        <w:t>采购招标文件</w:t>
      </w:r>
    </w:p>
    <w:p w14:paraId="3A3234F3">
      <w:pPr>
        <w:ind w:firstLine="360"/>
        <w:rPr>
          <w:rFonts w:ascii="Times New Roman" w:hAnsi="Times New Roman" w:eastAsiaTheme="minorEastAsia"/>
          <w:sz w:val="18"/>
          <w:szCs w:val="18"/>
        </w:rPr>
      </w:pPr>
    </w:p>
    <w:p w14:paraId="06BF78A4">
      <w:pPr>
        <w:snapToGrid w:val="0"/>
        <w:ind w:left="40" w:firstLine="361"/>
        <w:rPr>
          <w:rFonts w:ascii="Times New Roman" w:hAnsi="Times New Roman" w:eastAsiaTheme="minorEastAsia"/>
          <w:b/>
          <w:sz w:val="18"/>
          <w:szCs w:val="18"/>
        </w:rPr>
      </w:pPr>
    </w:p>
    <w:p w14:paraId="2033363C">
      <w:pPr>
        <w:pStyle w:val="2"/>
      </w:pPr>
    </w:p>
    <w:p w14:paraId="1B5B8C3A">
      <w:pPr>
        <w:adjustRightInd w:val="0"/>
        <w:snapToGrid w:val="0"/>
        <w:spacing w:line="480" w:lineRule="auto"/>
        <w:ind w:firstLine="360"/>
        <w:jc w:val="center"/>
        <w:rPr>
          <w:rFonts w:ascii="Times New Roman" w:hAnsi="Times New Roman" w:eastAsiaTheme="minorEastAsia"/>
          <w:bCs/>
          <w:sz w:val="18"/>
          <w:szCs w:val="18"/>
        </w:rPr>
      </w:pPr>
    </w:p>
    <w:p w14:paraId="60F42ABF">
      <w:pPr>
        <w:pStyle w:val="2"/>
        <w:spacing w:before="156"/>
        <w:jc w:val="center"/>
        <w:rPr>
          <w:rFonts w:ascii="Times New Roman" w:hAnsi="Times New Roman" w:eastAsiaTheme="minorEastAsia"/>
          <w:bCs/>
          <w:sz w:val="18"/>
          <w:szCs w:val="18"/>
        </w:rPr>
      </w:pPr>
      <w:r>
        <w:rPr>
          <w:rFonts w:ascii="Times New Roman" w:hAnsi="Times New Roman"/>
          <w:sz w:val="18"/>
          <w:szCs w:val="18"/>
        </w:rPr>
        <w:drawing>
          <wp:inline distT="0" distB="0" distL="114300" distR="114300">
            <wp:extent cx="1768475" cy="1510030"/>
            <wp:effectExtent l="0" t="0" r="0" b="13970"/>
            <wp:docPr id="161871346" name="图片 1" descr="J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1346" name="图片 1" descr="JH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68475" cy="1510030"/>
                    </a:xfrm>
                    <a:prstGeom prst="rect">
                      <a:avLst/>
                    </a:prstGeom>
                    <a:noFill/>
                  </pic:spPr>
                </pic:pic>
              </a:graphicData>
            </a:graphic>
          </wp:inline>
        </w:drawing>
      </w:r>
    </w:p>
    <w:p w14:paraId="352022DC">
      <w:pPr>
        <w:ind w:firstLine="360"/>
        <w:rPr>
          <w:rFonts w:ascii="Times New Roman" w:hAnsi="Times New Roman"/>
          <w:sz w:val="18"/>
          <w:szCs w:val="18"/>
        </w:rPr>
      </w:pPr>
    </w:p>
    <w:p w14:paraId="5BB17CDA">
      <w:pPr>
        <w:ind w:firstLine="360"/>
        <w:rPr>
          <w:rFonts w:ascii="Times New Roman" w:hAnsi="Times New Roman"/>
          <w:sz w:val="18"/>
          <w:szCs w:val="18"/>
        </w:rPr>
      </w:pPr>
    </w:p>
    <w:p w14:paraId="4D522FB6">
      <w:pPr>
        <w:snapToGrid w:val="0"/>
        <w:spacing w:before="156" w:line="360" w:lineRule="auto"/>
        <w:ind w:left="40" w:firstLine="361"/>
        <w:rPr>
          <w:rFonts w:ascii="Times New Roman" w:hAnsi="Times New Roman" w:eastAsiaTheme="minorEastAsia"/>
          <w:b/>
          <w:bCs/>
          <w:sz w:val="18"/>
          <w:szCs w:val="18"/>
        </w:rPr>
      </w:pPr>
    </w:p>
    <w:p w14:paraId="7C58A226">
      <w:pPr>
        <w:snapToGrid w:val="0"/>
        <w:spacing w:before="156" w:line="360" w:lineRule="auto"/>
        <w:ind w:left="40" w:firstLine="361"/>
        <w:rPr>
          <w:rFonts w:ascii="Times New Roman" w:hAnsi="Times New Roman" w:eastAsiaTheme="minorEastAsia"/>
          <w:b/>
          <w:bCs/>
          <w:sz w:val="18"/>
          <w:szCs w:val="18"/>
        </w:rPr>
      </w:pPr>
    </w:p>
    <w:p w14:paraId="3C9EAEBE">
      <w:pPr>
        <w:snapToGrid w:val="0"/>
        <w:spacing w:before="156" w:line="360" w:lineRule="auto"/>
        <w:ind w:left="40" w:firstLine="361"/>
        <w:rPr>
          <w:rFonts w:ascii="Times New Roman" w:hAnsi="Times New Roman" w:eastAsiaTheme="minorEastAsia"/>
          <w:b/>
          <w:bCs/>
          <w:sz w:val="18"/>
          <w:szCs w:val="18"/>
        </w:rPr>
      </w:pPr>
    </w:p>
    <w:p w14:paraId="500F152F">
      <w:pPr>
        <w:snapToGrid w:val="0"/>
        <w:spacing w:before="156" w:line="360" w:lineRule="auto"/>
        <w:ind w:left="40" w:firstLine="361"/>
        <w:rPr>
          <w:rFonts w:ascii="Times New Roman" w:hAnsi="Times New Roman" w:eastAsiaTheme="minorEastAsia"/>
          <w:b/>
          <w:bCs/>
          <w:sz w:val="18"/>
          <w:szCs w:val="18"/>
        </w:rPr>
      </w:pPr>
    </w:p>
    <w:p w14:paraId="45892BD4">
      <w:pPr>
        <w:snapToGrid w:val="0"/>
        <w:spacing w:before="156" w:line="360" w:lineRule="auto"/>
        <w:ind w:left="40" w:firstLine="361"/>
        <w:rPr>
          <w:rFonts w:ascii="Times New Roman" w:hAnsi="Times New Roman" w:eastAsiaTheme="minorEastAsia"/>
          <w:b/>
          <w:bCs/>
          <w:sz w:val="18"/>
          <w:szCs w:val="18"/>
        </w:rPr>
      </w:pPr>
    </w:p>
    <w:p w14:paraId="74A4A4A4">
      <w:pPr>
        <w:snapToGrid w:val="0"/>
        <w:spacing w:before="156" w:line="360" w:lineRule="auto"/>
        <w:ind w:left="40" w:firstLine="361"/>
        <w:rPr>
          <w:rFonts w:ascii="Times New Roman" w:hAnsi="Times New Roman" w:eastAsiaTheme="minorEastAsia"/>
          <w:b/>
          <w:bCs/>
          <w:sz w:val="18"/>
          <w:szCs w:val="18"/>
        </w:rPr>
      </w:pPr>
    </w:p>
    <w:p w14:paraId="2C56A413">
      <w:pPr>
        <w:pStyle w:val="2"/>
        <w:rPr>
          <w:rFonts w:ascii="Times New Roman" w:hAnsi="Times New Roman" w:eastAsiaTheme="minorEastAsia"/>
          <w:b/>
          <w:bCs/>
          <w:sz w:val="18"/>
          <w:szCs w:val="18"/>
        </w:rPr>
      </w:pPr>
    </w:p>
    <w:p w14:paraId="7338DB52">
      <w:pPr>
        <w:snapToGrid w:val="0"/>
        <w:spacing w:before="156" w:line="360" w:lineRule="auto"/>
        <w:rPr>
          <w:rFonts w:ascii="Times New Roman" w:hAnsi="Times New Roman" w:eastAsiaTheme="minorEastAsia"/>
          <w:b/>
          <w:bCs/>
          <w:sz w:val="18"/>
          <w:szCs w:val="18"/>
        </w:rPr>
      </w:pPr>
    </w:p>
    <w:p w14:paraId="6CF62669">
      <w:pPr>
        <w:pStyle w:val="2"/>
      </w:pPr>
    </w:p>
    <w:p w14:paraId="3212A69A">
      <w:pPr>
        <w:spacing w:line="480" w:lineRule="auto"/>
        <w:ind w:firstLine="848" w:firstLineChars="352"/>
        <w:rPr>
          <w:rFonts w:ascii="Times New Roman" w:hAnsi="Times New Roman" w:eastAsiaTheme="minorEastAsia"/>
          <w:b/>
          <w:bCs/>
          <w:sz w:val="24"/>
          <w:szCs w:val="24"/>
        </w:rPr>
      </w:pPr>
      <w:r>
        <w:rPr>
          <w:rFonts w:ascii="Times New Roman" w:hAnsi="Times New Roman" w:eastAsiaTheme="minorEastAsia"/>
          <w:b/>
          <w:bCs/>
          <w:sz w:val="24"/>
          <w:szCs w:val="24"/>
        </w:rPr>
        <w:t>招标项目：</w:t>
      </w:r>
      <w:r>
        <w:rPr>
          <w:rFonts w:hint="eastAsia" w:ascii="Times New Roman" w:hAnsi="Times New Roman" w:eastAsiaTheme="minorEastAsia"/>
          <w:b/>
          <w:bCs/>
          <w:sz w:val="24"/>
          <w:szCs w:val="24"/>
        </w:rPr>
        <w:t>秦淮新河改扩建工程土建及设备安装</w:t>
      </w:r>
    </w:p>
    <w:p w14:paraId="1F952BFE">
      <w:pPr>
        <w:spacing w:line="480" w:lineRule="auto"/>
        <w:ind w:firstLine="848" w:firstLineChars="352"/>
        <w:rPr>
          <w:rFonts w:ascii="Times New Roman" w:hAnsi="Times New Roman" w:eastAsiaTheme="minorEastAsia"/>
          <w:b/>
          <w:bCs/>
          <w:sz w:val="24"/>
          <w:szCs w:val="24"/>
        </w:rPr>
      </w:pPr>
      <w:r>
        <w:rPr>
          <w:rFonts w:ascii="Times New Roman" w:hAnsi="Times New Roman" w:eastAsiaTheme="minorEastAsia"/>
          <w:b/>
          <w:bCs/>
          <w:sz w:val="24"/>
          <w:szCs w:val="24"/>
        </w:rPr>
        <w:t>招 标 人：江苏省水利建设工程有限公司</w:t>
      </w:r>
    </w:p>
    <w:p w14:paraId="2C5D6C0C">
      <w:pPr>
        <w:spacing w:line="480" w:lineRule="auto"/>
        <w:ind w:firstLine="848" w:firstLineChars="352"/>
        <w:rPr>
          <w:rFonts w:ascii="Times New Roman" w:hAnsi="Times New Roman" w:eastAsiaTheme="minorEastAsia"/>
          <w:b/>
          <w:bCs/>
          <w:sz w:val="24"/>
          <w:szCs w:val="24"/>
        </w:rPr>
      </w:pPr>
      <w:r>
        <w:rPr>
          <w:rFonts w:ascii="Times New Roman" w:hAnsi="Times New Roman" w:eastAsiaTheme="minorEastAsia"/>
          <w:b/>
          <w:bCs/>
          <w:sz w:val="24"/>
          <w:szCs w:val="24"/>
        </w:rPr>
        <w:t>编制日期：</w:t>
      </w:r>
      <w:r>
        <w:rPr>
          <w:rFonts w:hint="eastAsia" w:ascii="Times New Roman" w:hAnsi="Times New Roman" w:eastAsiaTheme="minorEastAsia"/>
          <w:b/>
          <w:bCs/>
          <w:sz w:val="24"/>
          <w:szCs w:val="24"/>
        </w:rPr>
        <w:t>2</w:t>
      </w:r>
      <w:r>
        <w:rPr>
          <w:rFonts w:ascii="Times New Roman" w:hAnsi="Times New Roman" w:eastAsiaTheme="minorEastAsia"/>
          <w:b/>
          <w:bCs/>
          <w:sz w:val="24"/>
          <w:szCs w:val="24"/>
        </w:rPr>
        <w:t>02</w:t>
      </w:r>
      <w:r>
        <w:rPr>
          <w:rFonts w:hint="eastAsia" w:ascii="Times New Roman" w:hAnsi="Times New Roman" w:eastAsiaTheme="minorEastAsia"/>
          <w:b/>
          <w:bCs/>
          <w:sz w:val="24"/>
          <w:szCs w:val="24"/>
        </w:rPr>
        <w:t>5</w:t>
      </w:r>
      <w:r>
        <w:rPr>
          <w:rFonts w:ascii="Times New Roman" w:hAnsi="Times New Roman" w:eastAsiaTheme="minorEastAsia"/>
          <w:b/>
          <w:bCs/>
          <w:sz w:val="24"/>
          <w:szCs w:val="24"/>
        </w:rPr>
        <w:t>年</w:t>
      </w:r>
      <w:r>
        <w:rPr>
          <w:rFonts w:hint="eastAsia" w:ascii="Times New Roman" w:hAnsi="Times New Roman" w:eastAsiaTheme="minorEastAsia"/>
          <w:b/>
          <w:bCs/>
          <w:sz w:val="24"/>
          <w:szCs w:val="24"/>
          <w:lang w:val="en-US" w:eastAsia="zh-CN"/>
        </w:rPr>
        <w:t>9</w:t>
      </w:r>
      <w:r>
        <w:rPr>
          <w:rFonts w:ascii="Times New Roman" w:hAnsi="Times New Roman" w:eastAsiaTheme="minorEastAsia"/>
          <w:b/>
          <w:bCs/>
          <w:sz w:val="24"/>
          <w:szCs w:val="24"/>
        </w:rPr>
        <w:t>月</w:t>
      </w:r>
      <w:r>
        <w:rPr>
          <w:rFonts w:hint="eastAsia" w:ascii="Times New Roman" w:hAnsi="Times New Roman" w:eastAsiaTheme="minorEastAsia"/>
          <w:b/>
          <w:bCs/>
          <w:sz w:val="24"/>
          <w:szCs w:val="24"/>
          <w:lang w:val="en-US" w:eastAsia="zh-CN"/>
        </w:rPr>
        <w:t>18</w:t>
      </w:r>
      <w:r>
        <w:rPr>
          <w:rFonts w:ascii="Times New Roman" w:hAnsi="Times New Roman" w:eastAsiaTheme="minorEastAsia"/>
          <w:b/>
          <w:bCs/>
          <w:sz w:val="24"/>
          <w:szCs w:val="24"/>
        </w:rPr>
        <w:t>日</w:t>
      </w:r>
    </w:p>
    <w:p w14:paraId="22BA2994">
      <w:pPr>
        <w:spacing w:beforeLines="100" w:line="360" w:lineRule="auto"/>
        <w:jc w:val="center"/>
        <w:rPr>
          <w:rFonts w:ascii="Times New Roman" w:hAnsi="Times New Roman"/>
          <w:b/>
          <w:sz w:val="32"/>
          <w:szCs w:val="32"/>
        </w:rPr>
      </w:pPr>
      <w:r>
        <w:rPr>
          <w:rFonts w:ascii="Times New Roman" w:hAnsi="Times New Roman"/>
          <w:b/>
          <w:sz w:val="32"/>
          <w:szCs w:val="32"/>
        </w:rPr>
        <w:t>第一章 招标公告</w:t>
      </w:r>
    </w:p>
    <w:p w14:paraId="33D99069">
      <w:pPr>
        <w:adjustRightInd w:val="0"/>
        <w:snapToGrid w:val="0"/>
        <w:spacing w:line="360" w:lineRule="auto"/>
        <w:ind w:left="40" w:firstLine="480"/>
        <w:rPr>
          <w:rFonts w:ascii="Times New Roman" w:hAnsi="Times New Roman"/>
          <w:sz w:val="24"/>
          <w:szCs w:val="24"/>
        </w:rPr>
      </w:pPr>
    </w:p>
    <w:p w14:paraId="3E708BC3">
      <w:pPr>
        <w:adjustRightInd w:val="0"/>
        <w:snapToGrid w:val="0"/>
        <w:spacing w:line="360" w:lineRule="auto"/>
        <w:ind w:left="40" w:firstLine="480" w:firstLineChars="200"/>
        <w:rPr>
          <w:rFonts w:ascii="宋体" w:hAnsi="宋体"/>
          <w:sz w:val="24"/>
          <w:szCs w:val="24"/>
        </w:rPr>
      </w:pPr>
      <w:r>
        <w:rPr>
          <w:rFonts w:hint="eastAsia" w:ascii="宋体" w:hAnsi="宋体" w:cs="宋体"/>
          <w:color w:val="000000"/>
          <w:sz w:val="24"/>
          <w:szCs w:val="24"/>
        </w:rPr>
        <w:t>我公司中标承建了</w:t>
      </w:r>
      <w:r>
        <w:rPr>
          <w:rFonts w:hint="eastAsia" w:ascii="宋体" w:hAnsi="宋体" w:cs="方正仿宋_GB18030"/>
          <w:b/>
          <w:color w:val="000000"/>
          <w:sz w:val="24"/>
          <w:szCs w:val="24"/>
          <w:u w:val="single"/>
        </w:rPr>
        <w:t>秦淮新河改扩建工程土建施工及设备安装</w:t>
      </w:r>
      <w:r>
        <w:rPr>
          <w:rFonts w:ascii="宋体" w:hAnsi="宋体"/>
          <w:sz w:val="24"/>
          <w:szCs w:val="24"/>
        </w:rPr>
        <w:t>，为保证优质、高效、安全地完成施工任务，</w:t>
      </w:r>
      <w:r>
        <w:rPr>
          <w:rFonts w:hint="eastAsia" w:ascii="宋体" w:hAnsi="宋体"/>
          <w:sz w:val="24"/>
          <w:szCs w:val="24"/>
        </w:rPr>
        <w:t>现决定对该项目使用的吊装设施采购进行公开招标</w:t>
      </w:r>
      <w:r>
        <w:rPr>
          <w:rFonts w:ascii="宋体" w:hAnsi="宋体"/>
          <w:sz w:val="24"/>
          <w:szCs w:val="24"/>
        </w:rPr>
        <w:t>，欢迎新老客户参加竞标。</w:t>
      </w:r>
      <w:bookmarkStart w:id="0" w:name="_Toc374458968"/>
      <w:bookmarkStart w:id="1" w:name="_Toc13095"/>
      <w:bookmarkStart w:id="2" w:name="_Toc211244988"/>
    </w:p>
    <w:bookmarkEnd w:id="0"/>
    <w:bookmarkEnd w:id="1"/>
    <w:bookmarkEnd w:id="2"/>
    <w:p w14:paraId="58E1C93B">
      <w:pPr>
        <w:adjustRightInd w:val="0"/>
        <w:snapToGrid w:val="0"/>
        <w:spacing w:line="360" w:lineRule="auto"/>
        <w:ind w:left="40" w:firstLine="482" w:firstLineChars="200"/>
        <w:rPr>
          <w:rFonts w:ascii="宋体" w:hAnsi="宋体"/>
          <w:b/>
          <w:sz w:val="24"/>
          <w:szCs w:val="24"/>
        </w:rPr>
      </w:pPr>
      <w:r>
        <w:rPr>
          <w:rFonts w:ascii="宋体" w:hAnsi="宋体"/>
          <w:b/>
          <w:sz w:val="24"/>
          <w:szCs w:val="24"/>
        </w:rPr>
        <w:t>一、投标人资格要求</w:t>
      </w:r>
    </w:p>
    <w:p w14:paraId="4E7F7F1F">
      <w:pPr>
        <w:adjustRightInd w:val="0"/>
        <w:snapToGrid w:val="0"/>
        <w:spacing w:line="360" w:lineRule="auto"/>
        <w:ind w:firstLine="480"/>
        <w:rPr>
          <w:rFonts w:ascii="Times New Roman" w:hAnsi="Times New Roman"/>
          <w:sz w:val="24"/>
          <w:szCs w:val="24"/>
        </w:rPr>
      </w:pPr>
      <w:bookmarkStart w:id="3" w:name="_Toc9530677"/>
      <w:r>
        <w:rPr>
          <w:rFonts w:hint="eastAsia" w:ascii="Times New Roman" w:hAnsi="Times New Roman"/>
          <w:sz w:val="24"/>
          <w:szCs w:val="24"/>
          <w:lang w:val="en-US" w:eastAsia="zh-CN"/>
        </w:rPr>
        <w:t>1</w:t>
      </w:r>
      <w:r>
        <w:rPr>
          <w:rFonts w:hint="eastAsia" w:ascii="Times New Roman" w:hAnsi="Times New Roman"/>
          <w:sz w:val="24"/>
          <w:szCs w:val="24"/>
        </w:rPr>
        <w:t>、本次招标要求投标人必须是在中华人民共和国境内依法注册、具有独立法人资格、具有增值税一般纳税人资格的供应商，投标人须符合以下条件要求：</w:t>
      </w:r>
    </w:p>
    <w:p w14:paraId="073BB319">
      <w:pPr>
        <w:adjustRightInd w:val="0"/>
        <w:snapToGrid w:val="0"/>
        <w:spacing w:line="360" w:lineRule="auto"/>
        <w:ind w:firstLine="480"/>
        <w:rPr>
          <w:rFonts w:hint="eastAsia" w:ascii="Times New Roman" w:hAnsi="Times New Roman" w:eastAsia="宋体"/>
          <w:sz w:val="24"/>
          <w:szCs w:val="24"/>
          <w:lang w:eastAsia="zh-CN"/>
        </w:rPr>
      </w:pPr>
      <w:r>
        <w:rPr>
          <w:rFonts w:hint="eastAsia" w:ascii="Times New Roman" w:hAnsi="Times New Roman"/>
          <w:sz w:val="24"/>
          <w:szCs w:val="24"/>
          <w:lang w:val="en-US" w:eastAsia="zh-CN"/>
        </w:rPr>
        <w:t>1</w:t>
      </w:r>
      <w:r>
        <w:rPr>
          <w:rFonts w:hint="eastAsia" w:ascii="Times New Roman" w:hAnsi="Times New Roman"/>
          <w:sz w:val="24"/>
          <w:szCs w:val="24"/>
          <w:lang w:eastAsia="zh-CN"/>
        </w:rPr>
        <w:t>）</w:t>
      </w:r>
      <w:r>
        <w:rPr>
          <w:rFonts w:hint="eastAsia" w:ascii="Times New Roman" w:hAnsi="Times New Roman"/>
          <w:sz w:val="24"/>
          <w:szCs w:val="24"/>
        </w:rPr>
        <w:t>投标人应提供有效的营业执照（三证合一的营业执照）</w:t>
      </w:r>
      <w:r>
        <w:rPr>
          <w:rFonts w:hint="eastAsia" w:ascii="Times New Roman" w:hAnsi="Times New Roman"/>
          <w:sz w:val="24"/>
          <w:szCs w:val="24"/>
          <w:lang w:val="en-US" w:eastAsia="zh-CN"/>
        </w:rPr>
        <w:t>；</w:t>
      </w:r>
    </w:p>
    <w:p w14:paraId="24C1C931">
      <w:pPr>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lang w:val="en-US" w:eastAsia="zh-CN"/>
        </w:rPr>
        <w:t>2</w:t>
      </w:r>
      <w:r>
        <w:rPr>
          <w:rFonts w:hint="eastAsia" w:ascii="Times New Roman" w:hAnsi="Times New Roman"/>
          <w:sz w:val="24"/>
          <w:szCs w:val="24"/>
          <w:lang w:eastAsia="zh-CN"/>
        </w:rPr>
        <w:t>）</w:t>
      </w:r>
      <w:r>
        <w:rPr>
          <w:rFonts w:hint="eastAsia" w:ascii="Times New Roman" w:hAnsi="Times New Roman"/>
          <w:sz w:val="24"/>
          <w:szCs w:val="24"/>
        </w:rPr>
        <w:t>投标人应具有近5年（自2020年1月1日至招标公告发布之日）至少承担一个包含同类设备的供货业绩，投标人应出示业绩证明文件（至少包含供货合同扫描件）；</w:t>
      </w:r>
    </w:p>
    <w:p w14:paraId="10564D74">
      <w:pPr>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lang w:val="en-US" w:eastAsia="zh-CN"/>
        </w:rPr>
        <w:t>3</w:t>
      </w:r>
      <w:r>
        <w:rPr>
          <w:rFonts w:hint="eastAsia" w:ascii="Times New Roman" w:hAnsi="Times New Roman"/>
          <w:sz w:val="24"/>
          <w:szCs w:val="24"/>
          <w:lang w:eastAsia="zh-CN"/>
        </w:rPr>
        <w:t>）</w:t>
      </w:r>
      <w:r>
        <w:rPr>
          <w:rFonts w:ascii="Times New Roman" w:hAnsi="Times New Roman"/>
          <w:sz w:val="24"/>
          <w:szCs w:val="24"/>
        </w:rPr>
        <w:t>投标人需具有有效期内的</w:t>
      </w:r>
      <w:r>
        <w:rPr>
          <w:rFonts w:hint="eastAsia" w:ascii="Times New Roman" w:hAnsi="Times New Roman"/>
          <w:sz w:val="24"/>
          <w:szCs w:val="24"/>
        </w:rPr>
        <w:t>B级及以上特种设备生产许可证书（代理商需提供制造厂家的证书）</w:t>
      </w:r>
    </w:p>
    <w:p w14:paraId="48A3BD82">
      <w:pPr>
        <w:adjustRightInd w:val="0"/>
        <w:snapToGrid w:val="0"/>
        <w:spacing w:line="360" w:lineRule="auto"/>
        <w:ind w:firstLine="480"/>
        <w:rPr>
          <w:rFonts w:hint="eastAsia" w:ascii="Times New Roman" w:hAnsi="Times New Roman"/>
          <w:sz w:val="24"/>
          <w:szCs w:val="24"/>
          <w:lang w:eastAsia="zh-CN"/>
        </w:rPr>
      </w:pPr>
      <w:bookmarkStart w:id="4" w:name="EBce7a64c612554a0c9f00fd85054c3138"/>
      <w:r>
        <w:rPr>
          <w:rFonts w:hint="eastAsia" w:ascii="Times New Roman" w:hAnsi="Times New Roman"/>
          <w:sz w:val="24"/>
          <w:szCs w:val="24"/>
          <w:lang w:val="en-US" w:eastAsia="zh-CN"/>
        </w:rPr>
        <w:t>4</w:t>
      </w:r>
      <w:r>
        <w:rPr>
          <w:rFonts w:hint="eastAsia" w:ascii="Times New Roman" w:hAnsi="Times New Roman"/>
          <w:sz w:val="24"/>
          <w:szCs w:val="24"/>
          <w:lang w:eastAsia="zh-CN"/>
        </w:rPr>
        <w:t>）</w:t>
      </w:r>
      <w:r>
        <w:rPr>
          <w:rFonts w:hint="eastAsia" w:ascii="Times New Roman" w:hAnsi="Times New Roman"/>
          <w:sz w:val="24"/>
          <w:szCs w:val="24"/>
        </w:rPr>
        <w:t>投标人需具有有效期内的ISO9001质量管理体系认证证书、ISO14001环境体系认证证书、ISO45001职业健康安全体系认证证书</w:t>
      </w:r>
      <w:r>
        <w:rPr>
          <w:rFonts w:hint="eastAsia" w:ascii="Times New Roman" w:hAnsi="Times New Roman"/>
          <w:sz w:val="24"/>
          <w:szCs w:val="24"/>
          <w:lang w:eastAsia="zh-CN"/>
        </w:rPr>
        <w:t>。</w:t>
      </w:r>
    </w:p>
    <w:p w14:paraId="14AAFB6D">
      <w:pPr>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lang w:val="en-US" w:eastAsia="zh-CN"/>
        </w:rPr>
        <w:t>若</w:t>
      </w:r>
      <w:r>
        <w:rPr>
          <w:rFonts w:hint="eastAsia" w:ascii="Times New Roman" w:hAnsi="Times New Roman"/>
          <w:sz w:val="24"/>
          <w:szCs w:val="24"/>
        </w:rPr>
        <w:t>投标人为代理商的同时需提供制造商有效的ISO9001质量管理体系认证证书、ISO14001环境管理体系认证证书、ISO45001职业健康安全管理体系认证证书；</w:t>
      </w:r>
    </w:p>
    <w:p w14:paraId="2DB68299">
      <w:pPr>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lang w:val="en-US" w:eastAsia="zh-CN"/>
        </w:rPr>
        <w:t>2</w:t>
      </w:r>
      <w:r>
        <w:rPr>
          <w:rFonts w:hint="eastAsia" w:ascii="Times New Roman" w:hAnsi="Times New Roman"/>
          <w:sz w:val="24"/>
          <w:szCs w:val="24"/>
        </w:rPr>
        <w:t>、</w:t>
      </w:r>
      <w:r>
        <w:rPr>
          <w:rFonts w:ascii="Times New Roman" w:hAnsi="Times New Roman"/>
          <w:sz w:val="24"/>
          <w:szCs w:val="24"/>
        </w:rPr>
        <w:t>有供应</w:t>
      </w:r>
      <w:r>
        <w:rPr>
          <w:rFonts w:hint="eastAsia" w:ascii="Times New Roman" w:hAnsi="Times New Roman"/>
          <w:sz w:val="24"/>
          <w:szCs w:val="24"/>
        </w:rPr>
        <w:t>相关</w:t>
      </w:r>
      <w:r>
        <w:rPr>
          <w:rFonts w:ascii="Times New Roman" w:hAnsi="Times New Roman"/>
          <w:sz w:val="24"/>
          <w:szCs w:val="24"/>
        </w:rPr>
        <w:t>水利工程</w:t>
      </w:r>
      <w:r>
        <w:rPr>
          <w:rFonts w:hint="eastAsia" w:ascii="Times New Roman" w:hAnsi="Times New Roman"/>
          <w:sz w:val="24"/>
          <w:szCs w:val="24"/>
        </w:rPr>
        <w:t>项目产品</w:t>
      </w:r>
      <w:r>
        <w:rPr>
          <w:rFonts w:ascii="Times New Roman" w:hAnsi="Times New Roman"/>
          <w:sz w:val="24"/>
          <w:szCs w:val="24"/>
        </w:rPr>
        <w:t>经验，</w:t>
      </w:r>
      <w:r>
        <w:rPr>
          <w:rFonts w:hint="eastAsia" w:ascii="Times New Roman" w:hAnsi="Times New Roman"/>
          <w:sz w:val="24"/>
          <w:szCs w:val="24"/>
        </w:rPr>
        <w:t>供货及时，产品质量优良</w:t>
      </w:r>
      <w:r>
        <w:rPr>
          <w:rFonts w:ascii="Times New Roman" w:hAnsi="Times New Roman"/>
          <w:sz w:val="24"/>
          <w:szCs w:val="24"/>
        </w:rPr>
        <w:t>，</w:t>
      </w:r>
      <w:r>
        <w:rPr>
          <w:rFonts w:hint="eastAsia" w:ascii="Times New Roman" w:hAnsi="Times New Roman"/>
          <w:sz w:val="24"/>
          <w:szCs w:val="24"/>
        </w:rPr>
        <w:t>符合国家相关行业标准。</w:t>
      </w:r>
    </w:p>
    <w:bookmarkEnd w:id="4"/>
    <w:p w14:paraId="6F5244C0">
      <w:pPr>
        <w:adjustRightInd w:val="0"/>
        <w:snapToGrid w:val="0"/>
        <w:spacing w:line="360" w:lineRule="auto"/>
        <w:ind w:left="40" w:firstLine="482" w:firstLineChars="200"/>
        <w:rPr>
          <w:rFonts w:ascii="宋体" w:hAnsi="宋体"/>
          <w:b/>
          <w:sz w:val="24"/>
          <w:szCs w:val="24"/>
        </w:rPr>
      </w:pPr>
      <w:r>
        <w:rPr>
          <w:rFonts w:ascii="宋体" w:hAnsi="宋体"/>
          <w:b/>
          <w:sz w:val="24"/>
          <w:szCs w:val="24"/>
        </w:rPr>
        <w:t>二、招标文件的获取</w:t>
      </w:r>
      <w:bookmarkEnd w:id="3"/>
    </w:p>
    <w:p w14:paraId="7380C60F">
      <w:pPr>
        <w:adjustRightInd w:val="0"/>
        <w:snapToGrid w:val="0"/>
        <w:spacing w:line="360" w:lineRule="auto"/>
        <w:ind w:left="40" w:firstLine="480" w:firstLineChars="200"/>
        <w:rPr>
          <w:rFonts w:ascii="宋体" w:hAnsi="宋体"/>
          <w:sz w:val="24"/>
          <w:szCs w:val="24"/>
        </w:rPr>
      </w:pPr>
      <w:r>
        <w:rPr>
          <w:rFonts w:ascii="宋体" w:hAnsi="宋体"/>
          <w:sz w:val="24"/>
          <w:szCs w:val="24"/>
        </w:rPr>
        <w:t>请有意参加投标的供应商至江苏省水利建设工程有限公司网站</w:t>
      </w:r>
      <w:r>
        <w:rPr>
          <w:rFonts w:hint="default" w:ascii="Times New Roman" w:hAnsi="Times New Roman" w:cs="Times New Roman"/>
          <w:sz w:val="24"/>
          <w:szCs w:val="24"/>
        </w:rPr>
        <w:t>（http://www.jswcc.com/）</w:t>
      </w:r>
      <w:r>
        <w:rPr>
          <w:rFonts w:ascii="宋体" w:hAnsi="宋体"/>
          <w:sz w:val="24"/>
          <w:szCs w:val="24"/>
        </w:rPr>
        <w:t>下载本次</w:t>
      </w:r>
      <w:r>
        <w:rPr>
          <w:rFonts w:hint="eastAsia" w:ascii="宋体" w:hAnsi="宋体"/>
          <w:sz w:val="24"/>
          <w:szCs w:val="24"/>
        </w:rPr>
        <w:t>吊装设施</w:t>
      </w:r>
      <w:r>
        <w:rPr>
          <w:rFonts w:ascii="宋体" w:hAnsi="宋体"/>
          <w:sz w:val="24"/>
          <w:szCs w:val="24"/>
        </w:rPr>
        <w:t>采购的招标文件。</w:t>
      </w:r>
    </w:p>
    <w:p w14:paraId="4CF6AD63">
      <w:pPr>
        <w:spacing w:line="348" w:lineRule="auto"/>
        <w:ind w:left="40" w:firstLine="480" w:firstLineChars="200"/>
        <w:rPr>
          <w:rFonts w:ascii="Times New Roman" w:hAnsi="Times New Roman"/>
          <w:sz w:val="24"/>
          <w:szCs w:val="24"/>
        </w:rPr>
      </w:pPr>
      <w:r>
        <w:rPr>
          <w:rFonts w:ascii="宋体" w:hAnsi="宋体"/>
          <w:sz w:val="24"/>
          <w:szCs w:val="24"/>
        </w:rPr>
        <w:t>招标人联</w:t>
      </w:r>
      <w:r>
        <w:rPr>
          <w:rFonts w:ascii="Times New Roman" w:hAnsi="Times New Roman"/>
          <w:sz w:val="24"/>
          <w:szCs w:val="24"/>
        </w:rPr>
        <w:t>系人：</w:t>
      </w:r>
      <w:r>
        <w:rPr>
          <w:rFonts w:hint="eastAsia" w:ascii="Times New Roman" w:hAnsi="Times New Roman"/>
          <w:sz w:val="24"/>
          <w:szCs w:val="24"/>
        </w:rPr>
        <w:t>朱丽</w:t>
      </w:r>
      <w:r>
        <w:rPr>
          <w:rFonts w:ascii="Times New Roman" w:hAnsi="Times New Roman"/>
          <w:sz w:val="24"/>
          <w:szCs w:val="24"/>
        </w:rPr>
        <w:t>（联系电话：</w:t>
      </w:r>
      <w:r>
        <w:rPr>
          <w:rFonts w:hint="eastAsia" w:ascii="Times New Roman" w:hAnsi="Times New Roman"/>
          <w:sz w:val="24"/>
          <w:szCs w:val="24"/>
        </w:rPr>
        <w:t>13218960628</w:t>
      </w:r>
      <w:r>
        <w:rPr>
          <w:rFonts w:ascii="Times New Roman" w:hAnsi="Times New Roman"/>
          <w:sz w:val="24"/>
          <w:szCs w:val="24"/>
        </w:rPr>
        <w:t>）</w:t>
      </w:r>
      <w:r>
        <w:rPr>
          <w:rFonts w:hint="eastAsia" w:ascii="Times New Roman" w:hAnsi="Times New Roman"/>
          <w:sz w:val="24"/>
          <w:szCs w:val="24"/>
        </w:rPr>
        <w:t>（长征西路14号）</w:t>
      </w:r>
    </w:p>
    <w:p w14:paraId="21A24A99">
      <w:pPr>
        <w:spacing w:line="360" w:lineRule="auto"/>
        <w:ind w:left="40" w:firstLine="482"/>
        <w:rPr>
          <w:rFonts w:ascii="Times New Roman" w:hAnsi="Times New Roman"/>
          <w:sz w:val="24"/>
          <w:szCs w:val="24"/>
        </w:rPr>
      </w:pPr>
      <w:r>
        <w:rPr>
          <w:rFonts w:ascii="Times New Roman" w:hAnsi="Times New Roman"/>
          <w:sz w:val="24"/>
          <w:szCs w:val="24"/>
        </w:rPr>
        <w:t>项目</w:t>
      </w:r>
      <w:r>
        <w:rPr>
          <w:rFonts w:hint="eastAsia" w:ascii="Times New Roman" w:hAnsi="Times New Roman"/>
          <w:sz w:val="24"/>
          <w:szCs w:val="24"/>
          <w:lang w:val="en-US" w:eastAsia="zh-CN"/>
        </w:rPr>
        <w:t>部联系</w:t>
      </w:r>
      <w:r>
        <w:rPr>
          <w:rFonts w:ascii="Times New Roman" w:hAnsi="Times New Roman"/>
          <w:sz w:val="24"/>
          <w:szCs w:val="24"/>
        </w:rPr>
        <w:t>人：</w:t>
      </w:r>
      <w:r>
        <w:rPr>
          <w:rFonts w:hint="eastAsia" w:ascii="Times New Roman" w:hAnsi="Times New Roman"/>
          <w:color w:val="000000"/>
          <w:sz w:val="24"/>
          <w:szCs w:val="24"/>
        </w:rPr>
        <w:t>吴坤（</w:t>
      </w:r>
      <w:r>
        <w:rPr>
          <w:rFonts w:ascii="Times New Roman" w:hAnsi="Times New Roman"/>
          <w:color w:val="000000"/>
          <w:sz w:val="24"/>
          <w:szCs w:val="24"/>
        </w:rPr>
        <w:t>联系电话：</w:t>
      </w:r>
      <w:r>
        <w:rPr>
          <w:rFonts w:hint="eastAsia" w:ascii="Times New Roman" w:hAnsi="Times New Roman"/>
          <w:sz w:val="24"/>
          <w:szCs w:val="24"/>
        </w:rPr>
        <w:t>18921907689）</w:t>
      </w:r>
    </w:p>
    <w:p w14:paraId="04F7EC0A">
      <w:pPr>
        <w:spacing w:line="360" w:lineRule="auto"/>
        <w:ind w:left="40" w:firstLine="482"/>
        <w:rPr>
          <w:rFonts w:ascii="宋体" w:hAnsi="宋体"/>
          <w:b/>
          <w:bCs/>
          <w:sz w:val="24"/>
          <w:szCs w:val="24"/>
        </w:rPr>
      </w:pPr>
      <w:r>
        <w:rPr>
          <w:rFonts w:ascii="宋体" w:hAnsi="宋体"/>
          <w:b/>
          <w:bCs/>
          <w:sz w:val="24"/>
          <w:szCs w:val="24"/>
        </w:rPr>
        <w:t>三、投标文件的递交</w:t>
      </w:r>
    </w:p>
    <w:p w14:paraId="09427DA8">
      <w:pPr>
        <w:keepNext w:val="0"/>
        <w:keepLines w:val="0"/>
        <w:pageBreakBefore w:val="0"/>
        <w:widowControl w:val="0"/>
        <w:kinsoku/>
        <w:wordWrap/>
        <w:overflowPunct/>
        <w:topLinePunct w:val="0"/>
        <w:autoSpaceDE/>
        <w:autoSpaceDN/>
        <w:bidi w:val="0"/>
        <w:adjustRightInd/>
        <w:snapToGrid w:val="0"/>
        <w:spacing w:line="348" w:lineRule="auto"/>
        <w:ind w:left="40" w:firstLine="480" w:firstLineChars="200"/>
        <w:textAlignment w:val="auto"/>
        <w:rPr>
          <w:rFonts w:ascii="Times New Roman" w:hAnsi="Times New Roman"/>
          <w:sz w:val="24"/>
          <w:szCs w:val="24"/>
        </w:rPr>
      </w:pPr>
      <w:r>
        <w:rPr>
          <w:rFonts w:ascii="宋体" w:hAnsi="宋体"/>
          <w:sz w:val="24"/>
          <w:szCs w:val="24"/>
        </w:rPr>
        <w:t>本次投标采取网上投标方式，投标</w:t>
      </w:r>
      <w:r>
        <w:rPr>
          <w:rFonts w:ascii="Times New Roman" w:hAnsi="Times New Roman"/>
          <w:sz w:val="24"/>
          <w:szCs w:val="24"/>
        </w:rPr>
        <w:t>人于</w:t>
      </w:r>
      <w:r>
        <w:rPr>
          <w:rFonts w:ascii="Times New Roman" w:hAnsi="Times New Roman"/>
          <w:bCs/>
          <w:color w:val="FF0000"/>
          <w:sz w:val="24"/>
          <w:szCs w:val="24"/>
        </w:rPr>
        <w:t>2025年</w:t>
      </w:r>
      <w:r>
        <w:rPr>
          <w:rFonts w:hint="eastAsia" w:ascii="Times New Roman" w:hAnsi="Times New Roman"/>
          <w:bCs/>
          <w:color w:val="FF0000"/>
          <w:sz w:val="24"/>
          <w:szCs w:val="24"/>
          <w:lang w:val="en-US" w:eastAsia="zh-CN"/>
        </w:rPr>
        <w:t>9</w:t>
      </w:r>
      <w:r>
        <w:rPr>
          <w:rFonts w:ascii="Times New Roman" w:hAnsi="Times New Roman"/>
          <w:bCs/>
          <w:color w:val="FF0000"/>
          <w:sz w:val="24"/>
          <w:szCs w:val="24"/>
        </w:rPr>
        <w:t>月</w:t>
      </w:r>
      <w:r>
        <w:rPr>
          <w:rFonts w:hint="eastAsia" w:ascii="Times New Roman" w:hAnsi="Times New Roman"/>
          <w:bCs/>
          <w:color w:val="FF0000"/>
          <w:sz w:val="24"/>
          <w:szCs w:val="24"/>
          <w:lang w:val="en-US" w:eastAsia="zh-CN"/>
        </w:rPr>
        <w:t>26</w:t>
      </w:r>
      <w:r>
        <w:rPr>
          <w:rFonts w:ascii="Times New Roman" w:hAnsi="Times New Roman"/>
          <w:bCs/>
          <w:color w:val="FF0000"/>
          <w:sz w:val="24"/>
          <w:szCs w:val="24"/>
        </w:rPr>
        <w:t>日上午</w:t>
      </w:r>
      <w:r>
        <w:rPr>
          <w:rFonts w:hint="eastAsia" w:ascii="Times New Roman" w:hAnsi="Times New Roman"/>
          <w:bCs/>
          <w:color w:val="FF0000"/>
          <w:sz w:val="24"/>
          <w:szCs w:val="24"/>
          <w:lang w:val="en-US" w:eastAsia="zh-CN"/>
        </w:rPr>
        <w:t>8</w:t>
      </w:r>
      <w:r>
        <w:rPr>
          <w:rFonts w:ascii="Times New Roman" w:hAnsi="Times New Roman"/>
          <w:bCs/>
          <w:color w:val="FF0000"/>
          <w:sz w:val="24"/>
          <w:szCs w:val="24"/>
        </w:rPr>
        <w:t>:</w:t>
      </w:r>
      <w:r>
        <w:rPr>
          <w:rFonts w:hint="eastAsia" w:ascii="Times New Roman" w:hAnsi="Times New Roman"/>
          <w:bCs/>
          <w:color w:val="FF0000"/>
          <w:sz w:val="24"/>
          <w:szCs w:val="24"/>
        </w:rPr>
        <w:t>3</w:t>
      </w:r>
      <w:r>
        <w:rPr>
          <w:rFonts w:ascii="Times New Roman" w:hAnsi="Times New Roman"/>
          <w:bCs/>
          <w:color w:val="FF0000"/>
          <w:sz w:val="24"/>
          <w:szCs w:val="24"/>
        </w:rPr>
        <w:t>0</w:t>
      </w:r>
      <w:r>
        <w:rPr>
          <w:rFonts w:ascii="Times New Roman" w:hAnsi="Times New Roman"/>
          <w:sz w:val="24"/>
          <w:szCs w:val="24"/>
        </w:rPr>
        <w:t>前将</w:t>
      </w:r>
      <w:r>
        <w:rPr>
          <w:rFonts w:ascii="宋体" w:hAnsi="宋体"/>
          <w:sz w:val="24"/>
          <w:szCs w:val="24"/>
        </w:rPr>
        <w:t>投标文件加盖公章后并扫描上传至江苏水建集中采购平台，投标文件每页均须法定代表人或其授权委托人签字并加盖单位公章。投标单位可</w:t>
      </w:r>
      <w:r>
        <w:rPr>
          <w:rFonts w:hint="eastAsia" w:ascii="Times New Roman" w:hAnsi="Times New Roman"/>
          <w:sz w:val="24"/>
          <w:szCs w:val="24"/>
        </w:rPr>
        <w:t>朱丽</w:t>
      </w:r>
      <w:r>
        <w:rPr>
          <w:rFonts w:ascii="宋体" w:hAnsi="宋体"/>
          <w:sz w:val="24"/>
          <w:szCs w:val="24"/>
        </w:rPr>
        <w:t>13218960628联系获取江苏水建集中采购平台操作手</w:t>
      </w:r>
      <w:r>
        <w:rPr>
          <w:rFonts w:ascii="Times New Roman" w:hAnsi="Times New Roman"/>
          <w:sz w:val="24"/>
          <w:szCs w:val="24"/>
        </w:rPr>
        <w:t>册。</w:t>
      </w:r>
    </w:p>
    <w:p w14:paraId="402C7E62">
      <w:pPr>
        <w:spacing w:line="360" w:lineRule="auto"/>
        <w:ind w:left="40" w:firstLine="482"/>
        <w:rPr>
          <w:rFonts w:ascii="Times New Roman" w:hAnsi="Times New Roman"/>
          <w:b/>
          <w:bCs/>
          <w:sz w:val="24"/>
          <w:szCs w:val="24"/>
        </w:rPr>
      </w:pPr>
      <w:r>
        <w:rPr>
          <w:rFonts w:ascii="Times New Roman" w:hAnsi="Times New Roman"/>
          <w:b/>
          <w:bCs/>
          <w:sz w:val="24"/>
          <w:szCs w:val="24"/>
        </w:rPr>
        <w:t>四、投标保证金、开标时间地点</w:t>
      </w:r>
    </w:p>
    <w:p w14:paraId="5AFE5B83">
      <w:pPr>
        <w:adjustRightInd w:val="0"/>
        <w:snapToGrid w:val="0"/>
        <w:spacing w:line="360" w:lineRule="auto"/>
        <w:ind w:left="40" w:firstLine="480" w:firstLineChars="200"/>
        <w:rPr>
          <w:rFonts w:ascii="Times New Roman" w:hAnsi="Times New Roman"/>
          <w:sz w:val="24"/>
          <w:szCs w:val="24"/>
        </w:rPr>
      </w:pPr>
      <w:r>
        <w:rPr>
          <w:rFonts w:ascii="Times New Roman" w:hAnsi="Times New Roman"/>
          <w:sz w:val="24"/>
          <w:szCs w:val="24"/>
        </w:rPr>
        <w:t>1、</w:t>
      </w:r>
      <w:r>
        <w:rPr>
          <w:rFonts w:ascii="Times New Roman" w:hAnsi="Times New Roman"/>
          <w:b/>
          <w:bCs/>
          <w:sz w:val="24"/>
          <w:szCs w:val="24"/>
        </w:rPr>
        <w:t>投标保证金</w:t>
      </w:r>
      <w:r>
        <w:rPr>
          <w:rFonts w:ascii="Times New Roman" w:hAnsi="Times New Roman"/>
          <w:sz w:val="24"/>
          <w:szCs w:val="24"/>
        </w:rPr>
        <w:t>：请各投标人需在</w:t>
      </w:r>
      <w:r>
        <w:rPr>
          <w:rFonts w:ascii="Times New Roman" w:hAnsi="Times New Roman"/>
          <w:bCs/>
          <w:color w:val="FF0000"/>
          <w:sz w:val="24"/>
          <w:szCs w:val="24"/>
        </w:rPr>
        <w:t>2025年</w:t>
      </w:r>
      <w:r>
        <w:rPr>
          <w:rFonts w:hint="eastAsia" w:ascii="Times New Roman" w:hAnsi="Times New Roman"/>
          <w:bCs/>
          <w:color w:val="FF0000"/>
          <w:sz w:val="24"/>
          <w:szCs w:val="24"/>
          <w:lang w:val="en-US" w:eastAsia="zh-CN"/>
        </w:rPr>
        <w:t>9</w:t>
      </w:r>
      <w:r>
        <w:rPr>
          <w:rFonts w:ascii="Times New Roman" w:hAnsi="Times New Roman"/>
          <w:bCs/>
          <w:color w:val="FF0000"/>
          <w:sz w:val="24"/>
          <w:szCs w:val="24"/>
        </w:rPr>
        <w:t>月</w:t>
      </w:r>
      <w:r>
        <w:rPr>
          <w:rFonts w:hint="eastAsia" w:ascii="Times New Roman" w:hAnsi="Times New Roman"/>
          <w:bCs/>
          <w:color w:val="FF0000"/>
          <w:sz w:val="24"/>
          <w:szCs w:val="24"/>
          <w:lang w:val="en-US" w:eastAsia="zh-CN"/>
        </w:rPr>
        <w:t>25</w:t>
      </w:r>
      <w:r>
        <w:rPr>
          <w:rFonts w:ascii="Times New Roman" w:hAnsi="Times New Roman"/>
          <w:bCs/>
          <w:color w:val="FF0000"/>
          <w:sz w:val="24"/>
          <w:szCs w:val="24"/>
        </w:rPr>
        <w:t>日</w:t>
      </w:r>
      <w:r>
        <w:rPr>
          <w:rFonts w:hint="eastAsia" w:ascii="Times New Roman" w:hAnsi="Times New Roman"/>
          <w:bCs/>
          <w:color w:val="FF0000"/>
          <w:sz w:val="24"/>
          <w:szCs w:val="24"/>
          <w:lang w:val="en-US" w:eastAsia="zh-CN"/>
        </w:rPr>
        <w:t>下</w:t>
      </w:r>
      <w:r>
        <w:rPr>
          <w:rFonts w:ascii="Times New Roman" w:hAnsi="Times New Roman"/>
          <w:bCs/>
          <w:color w:val="FF0000"/>
          <w:sz w:val="24"/>
          <w:szCs w:val="24"/>
        </w:rPr>
        <w:t>午</w:t>
      </w:r>
      <w:r>
        <w:rPr>
          <w:rFonts w:hint="eastAsia" w:ascii="Times New Roman" w:hAnsi="Times New Roman"/>
          <w:bCs/>
          <w:color w:val="FF0000"/>
          <w:sz w:val="24"/>
          <w:szCs w:val="24"/>
        </w:rPr>
        <w:t>1</w:t>
      </w:r>
      <w:r>
        <w:rPr>
          <w:rFonts w:hint="eastAsia" w:ascii="Times New Roman" w:hAnsi="Times New Roman"/>
          <w:bCs/>
          <w:color w:val="FF0000"/>
          <w:sz w:val="24"/>
          <w:szCs w:val="24"/>
          <w:lang w:val="en-US" w:eastAsia="zh-CN"/>
        </w:rPr>
        <w:t>6</w:t>
      </w:r>
      <w:r>
        <w:rPr>
          <w:rFonts w:ascii="Times New Roman" w:hAnsi="Times New Roman"/>
          <w:bCs/>
          <w:color w:val="FF0000"/>
          <w:sz w:val="24"/>
          <w:szCs w:val="24"/>
        </w:rPr>
        <w:t>:00</w:t>
      </w:r>
      <w:r>
        <w:rPr>
          <w:rFonts w:ascii="Times New Roman" w:hAnsi="Times New Roman"/>
          <w:sz w:val="24"/>
          <w:szCs w:val="24"/>
        </w:rPr>
        <w:t>前从单位基本账户将投标保证金（人民币）</w:t>
      </w:r>
      <w:r>
        <w:rPr>
          <w:rFonts w:hint="eastAsia" w:ascii="Times New Roman" w:hAnsi="Times New Roman"/>
          <w:b/>
          <w:bCs/>
          <w:color w:val="FF0000"/>
          <w:sz w:val="24"/>
          <w:szCs w:val="24"/>
          <w:u w:val="single"/>
        </w:rPr>
        <w:t>伍</w:t>
      </w:r>
      <w:r>
        <w:rPr>
          <w:rFonts w:ascii="Times New Roman" w:hAnsi="Times New Roman"/>
          <w:b/>
          <w:bCs/>
          <w:color w:val="FF0000"/>
          <w:sz w:val="24"/>
          <w:szCs w:val="24"/>
          <w:u w:val="single"/>
        </w:rPr>
        <w:t>万元整</w:t>
      </w:r>
      <w:r>
        <w:rPr>
          <w:rFonts w:ascii="Times New Roman" w:hAnsi="Times New Roman"/>
          <w:sz w:val="24"/>
          <w:szCs w:val="24"/>
        </w:rPr>
        <w:t>汇入我公司银行账户，</w:t>
      </w:r>
      <w:r>
        <w:rPr>
          <w:rFonts w:ascii="Times New Roman" w:hAnsi="Times New Roman"/>
          <w:b/>
          <w:bCs/>
          <w:sz w:val="24"/>
          <w:szCs w:val="24"/>
        </w:rPr>
        <w:t>汇款备注：</w:t>
      </w:r>
      <w:r>
        <w:rPr>
          <w:rFonts w:hint="eastAsia" w:ascii="Times New Roman" w:hAnsi="Times New Roman"/>
          <w:b/>
          <w:bCs/>
          <w:sz w:val="24"/>
          <w:szCs w:val="24"/>
        </w:rPr>
        <w:t>秦淮新河改扩建工程吊装设施</w:t>
      </w:r>
      <w:r>
        <w:rPr>
          <w:rFonts w:ascii="Times New Roman" w:hAnsi="Times New Roman"/>
          <w:b/>
          <w:bCs/>
          <w:sz w:val="24"/>
          <w:szCs w:val="24"/>
        </w:rPr>
        <w:t>采购投标保证金。</w:t>
      </w:r>
      <w:r>
        <w:rPr>
          <w:rFonts w:ascii="Times New Roman" w:hAnsi="Times New Roman"/>
          <w:sz w:val="24"/>
          <w:szCs w:val="24"/>
        </w:rPr>
        <w:t>其他方式的投标担保一律作无效标处理。未中标单位的投标保证金将在7个工作日内归还（不计利息），中标人的投标保证金凭已签订的合同和履约保证金（具体金额</w:t>
      </w:r>
      <w:r>
        <w:rPr>
          <w:rFonts w:hint="eastAsia" w:ascii="Times New Roman" w:hAnsi="Times New Roman"/>
          <w:sz w:val="24"/>
          <w:szCs w:val="24"/>
        </w:rPr>
        <w:t>和方式</w:t>
      </w:r>
      <w:r>
        <w:rPr>
          <w:rFonts w:ascii="Times New Roman" w:hAnsi="Times New Roman"/>
          <w:sz w:val="24"/>
          <w:szCs w:val="24"/>
        </w:rPr>
        <w:t>见后附的格式合同相关条款）已到账的银行收款凭证退还。投标保证金汇入账户：</w:t>
      </w:r>
    </w:p>
    <w:p w14:paraId="49F057C1">
      <w:pPr>
        <w:spacing w:line="348" w:lineRule="auto"/>
        <w:ind w:left="40" w:firstLine="480" w:firstLineChars="200"/>
        <w:rPr>
          <w:rFonts w:ascii="Times New Roman" w:hAnsi="Times New Roman"/>
          <w:sz w:val="24"/>
          <w:szCs w:val="24"/>
        </w:rPr>
      </w:pPr>
      <w:r>
        <w:rPr>
          <w:rFonts w:ascii="Times New Roman" w:hAnsi="Times New Roman"/>
          <w:sz w:val="24"/>
          <w:szCs w:val="24"/>
        </w:rPr>
        <w:t>户名：江苏省水利建设工程有限公司</w:t>
      </w:r>
    </w:p>
    <w:p w14:paraId="0AB5C3A5">
      <w:pPr>
        <w:spacing w:line="348" w:lineRule="auto"/>
        <w:ind w:left="40" w:firstLine="480" w:firstLineChars="200"/>
        <w:rPr>
          <w:rFonts w:ascii="Times New Roman" w:hAnsi="Times New Roman"/>
          <w:sz w:val="24"/>
          <w:szCs w:val="24"/>
        </w:rPr>
      </w:pPr>
      <w:r>
        <w:rPr>
          <w:rFonts w:ascii="Times New Roman" w:hAnsi="Times New Roman"/>
          <w:sz w:val="24"/>
          <w:szCs w:val="24"/>
        </w:rPr>
        <w:t>银行：中国建设银行扬州琼花支行</w:t>
      </w:r>
    </w:p>
    <w:p w14:paraId="025DC61D">
      <w:pPr>
        <w:spacing w:line="348" w:lineRule="auto"/>
        <w:ind w:left="40" w:firstLine="480" w:firstLineChars="200"/>
        <w:rPr>
          <w:rFonts w:ascii="Times New Roman" w:hAnsi="Times New Roman"/>
          <w:sz w:val="24"/>
          <w:szCs w:val="24"/>
        </w:rPr>
      </w:pPr>
      <w:r>
        <w:rPr>
          <w:rFonts w:ascii="Times New Roman" w:hAnsi="Times New Roman"/>
          <w:sz w:val="24"/>
          <w:szCs w:val="24"/>
        </w:rPr>
        <w:t>账号：32001745736050488688</w:t>
      </w:r>
    </w:p>
    <w:p w14:paraId="2FABDBB3">
      <w:pPr>
        <w:adjustRightInd w:val="0"/>
        <w:snapToGrid w:val="0"/>
        <w:spacing w:line="336" w:lineRule="auto"/>
        <w:ind w:firstLine="480" w:firstLineChars="200"/>
        <w:rPr>
          <w:rFonts w:hint="default" w:ascii="Times New Roman" w:hAnsi="Times New Roman" w:cs="Times New Roman"/>
          <w:b/>
          <w:bCs/>
          <w:color w:val="FF0000"/>
          <w:sz w:val="24"/>
          <w:szCs w:val="24"/>
        </w:rPr>
      </w:pPr>
      <w:r>
        <w:rPr>
          <w:rFonts w:ascii="Times New Roman" w:hAnsi="Times New Roman"/>
          <w:sz w:val="24"/>
          <w:szCs w:val="24"/>
        </w:rPr>
        <w:t>2、</w:t>
      </w:r>
      <w:r>
        <w:rPr>
          <w:rFonts w:ascii="Times New Roman" w:hAnsi="Times New Roman"/>
          <w:b/>
          <w:bCs/>
          <w:sz w:val="24"/>
          <w:szCs w:val="24"/>
        </w:rPr>
        <w:t>开标时间及地点</w:t>
      </w:r>
      <w:r>
        <w:rPr>
          <w:rFonts w:ascii="Times New Roman" w:hAnsi="Times New Roman"/>
          <w:sz w:val="24"/>
          <w:szCs w:val="24"/>
        </w:rPr>
        <w:t>：招标人于</w:t>
      </w:r>
      <w:r>
        <w:rPr>
          <w:rFonts w:ascii="Times New Roman" w:hAnsi="Times New Roman"/>
          <w:bCs/>
          <w:color w:val="FF0000"/>
          <w:sz w:val="24"/>
          <w:szCs w:val="24"/>
        </w:rPr>
        <w:t>2025年</w:t>
      </w:r>
      <w:r>
        <w:rPr>
          <w:rFonts w:hint="eastAsia" w:ascii="Times New Roman" w:hAnsi="Times New Roman"/>
          <w:bCs/>
          <w:color w:val="FF0000"/>
          <w:sz w:val="24"/>
          <w:szCs w:val="24"/>
          <w:lang w:val="en-US" w:eastAsia="zh-CN"/>
        </w:rPr>
        <w:t>9</w:t>
      </w:r>
      <w:r>
        <w:rPr>
          <w:rFonts w:ascii="Times New Roman" w:hAnsi="Times New Roman"/>
          <w:bCs/>
          <w:color w:val="FF0000"/>
          <w:sz w:val="24"/>
          <w:szCs w:val="24"/>
        </w:rPr>
        <w:t>月</w:t>
      </w:r>
      <w:r>
        <w:rPr>
          <w:rFonts w:hint="eastAsia" w:ascii="Times New Roman" w:hAnsi="Times New Roman"/>
          <w:bCs/>
          <w:color w:val="FF0000"/>
          <w:sz w:val="24"/>
          <w:szCs w:val="24"/>
          <w:lang w:val="en-US" w:eastAsia="zh-CN"/>
        </w:rPr>
        <w:t>26</w:t>
      </w:r>
      <w:r>
        <w:rPr>
          <w:rFonts w:ascii="Times New Roman" w:hAnsi="Times New Roman"/>
          <w:bCs/>
          <w:color w:val="FF0000"/>
          <w:sz w:val="24"/>
          <w:szCs w:val="24"/>
        </w:rPr>
        <w:t>日上午</w:t>
      </w:r>
      <w:r>
        <w:rPr>
          <w:rFonts w:hint="eastAsia" w:ascii="Times New Roman" w:hAnsi="Times New Roman"/>
          <w:bCs/>
          <w:color w:val="FF0000"/>
          <w:sz w:val="24"/>
          <w:szCs w:val="24"/>
          <w:lang w:val="en-US" w:eastAsia="zh-CN"/>
        </w:rPr>
        <w:t>8</w:t>
      </w:r>
      <w:r>
        <w:rPr>
          <w:rFonts w:ascii="Times New Roman" w:hAnsi="Times New Roman"/>
          <w:bCs/>
          <w:color w:val="FF0000"/>
          <w:sz w:val="24"/>
          <w:szCs w:val="24"/>
        </w:rPr>
        <w:t>:</w:t>
      </w:r>
      <w:r>
        <w:rPr>
          <w:rFonts w:hint="eastAsia" w:ascii="Times New Roman" w:hAnsi="Times New Roman"/>
          <w:bCs/>
          <w:color w:val="FF0000"/>
          <w:sz w:val="24"/>
          <w:szCs w:val="24"/>
        </w:rPr>
        <w:t>3</w:t>
      </w:r>
      <w:r>
        <w:rPr>
          <w:rFonts w:ascii="Times New Roman" w:hAnsi="Times New Roman"/>
          <w:bCs/>
          <w:color w:val="FF0000"/>
          <w:sz w:val="24"/>
          <w:szCs w:val="24"/>
        </w:rPr>
        <w:t>0</w:t>
      </w:r>
      <w:r>
        <w:rPr>
          <w:rFonts w:ascii="Times New Roman" w:hAnsi="Times New Roman"/>
          <w:sz w:val="24"/>
          <w:szCs w:val="24"/>
        </w:rPr>
        <w:t>在江苏省水利建设工程有限公司公司五楼会议室（扬州市长征西路</w:t>
      </w:r>
      <w:r>
        <w:rPr>
          <w:rFonts w:hint="default" w:ascii="Times New Roman" w:hAnsi="Times New Roman" w:cs="Times New Roman"/>
          <w:sz w:val="24"/>
          <w:szCs w:val="24"/>
        </w:rPr>
        <w:t>14号）现场开标，届时与投标人联系投标文件压缩包密码。</w:t>
      </w:r>
      <w:r>
        <w:rPr>
          <w:rFonts w:hint="default" w:ascii="Times New Roman" w:hAnsi="Times New Roman" w:cs="Times New Roman"/>
          <w:b/>
          <w:bCs/>
          <w:color w:val="FF0000"/>
          <w:sz w:val="24"/>
          <w:szCs w:val="32"/>
        </w:rPr>
        <w:t>开标时，投标联系人需保证电话畅通并准备好打开投标文件的正确密码，拨打投标联系人2次电话无法接通、提供2次错误开标密码或挂断电话再去找寻正确开标密码的均视同投标人放弃投标，招标人不再需要投标人提供开标密码。</w:t>
      </w:r>
    </w:p>
    <w:p w14:paraId="0E408874">
      <w:pPr>
        <w:spacing w:line="360" w:lineRule="auto"/>
        <w:ind w:left="40" w:firstLine="482" w:firstLineChars="200"/>
        <w:rPr>
          <w:rFonts w:ascii="Times New Roman" w:hAnsi="Times New Roman"/>
          <w:b/>
          <w:bCs/>
          <w:sz w:val="24"/>
          <w:szCs w:val="24"/>
        </w:rPr>
      </w:pPr>
      <w:r>
        <w:rPr>
          <w:rFonts w:ascii="Times New Roman" w:hAnsi="Times New Roman"/>
          <w:b/>
          <w:bCs/>
          <w:sz w:val="24"/>
          <w:szCs w:val="24"/>
        </w:rPr>
        <w:t>五、供货内容及要求</w:t>
      </w:r>
    </w:p>
    <w:p w14:paraId="1BF30E2E">
      <w:pPr>
        <w:pStyle w:val="2"/>
        <w:ind w:left="0" w:leftChars="0" w:firstLine="499" w:firstLineChars="208"/>
      </w:pPr>
      <w:r>
        <w:rPr>
          <w:rFonts w:hint="eastAsia" w:ascii="宋体" w:hAnsi="宋体" w:eastAsia="宋体" w:cs="Times New Roman"/>
          <w:color w:val="000000"/>
          <w:szCs w:val="21"/>
        </w:rPr>
        <w:t>1、</w:t>
      </w:r>
      <w:r>
        <w:rPr>
          <w:rFonts w:hint="eastAsia" w:ascii="宋体" w:hAnsi="宋体" w:cs="Times New Roman"/>
          <w:color w:val="000000"/>
          <w:szCs w:val="21"/>
          <w:lang w:val="en-US" w:eastAsia="zh-CN"/>
        </w:rPr>
        <w:t>产品</w:t>
      </w:r>
      <w:r>
        <w:rPr>
          <w:rFonts w:hint="eastAsia" w:ascii="宋体" w:hAnsi="宋体" w:eastAsia="宋体" w:cs="Times New Roman"/>
          <w:color w:val="000000"/>
          <w:szCs w:val="21"/>
        </w:rPr>
        <w:t>规格</w:t>
      </w:r>
      <w:r>
        <w:rPr>
          <w:rFonts w:hint="eastAsia" w:ascii="宋体" w:hAnsi="宋体" w:cs="Times New Roman"/>
          <w:color w:val="000000"/>
          <w:szCs w:val="21"/>
          <w:lang w:val="en-US" w:eastAsia="zh-CN"/>
        </w:rPr>
        <w:t>型号</w:t>
      </w:r>
      <w:r>
        <w:rPr>
          <w:rFonts w:hint="eastAsia" w:ascii="宋体" w:hAnsi="宋体" w:eastAsia="宋体" w:cs="Times New Roman"/>
          <w:color w:val="000000"/>
          <w:szCs w:val="21"/>
        </w:rPr>
        <w:t>、数量</w:t>
      </w:r>
    </w:p>
    <w:tbl>
      <w:tblPr>
        <w:tblStyle w:val="16"/>
        <w:tblW w:w="9596" w:type="dxa"/>
        <w:jc w:val="center"/>
        <w:tblLayout w:type="fixed"/>
        <w:tblCellMar>
          <w:top w:w="0" w:type="dxa"/>
          <w:left w:w="23" w:type="dxa"/>
          <w:bottom w:w="0" w:type="dxa"/>
          <w:right w:w="23" w:type="dxa"/>
        </w:tblCellMar>
      </w:tblPr>
      <w:tblGrid>
        <w:gridCol w:w="1859"/>
        <w:gridCol w:w="1581"/>
        <w:gridCol w:w="2280"/>
        <w:gridCol w:w="645"/>
        <w:gridCol w:w="790"/>
        <w:gridCol w:w="2441"/>
      </w:tblGrid>
      <w:tr w14:paraId="4FBD38EE">
        <w:tblPrEx>
          <w:tblCellMar>
            <w:top w:w="0" w:type="dxa"/>
            <w:left w:w="23" w:type="dxa"/>
            <w:bottom w:w="0" w:type="dxa"/>
            <w:right w:w="23" w:type="dxa"/>
          </w:tblCellMar>
        </w:tblPrEx>
        <w:trPr>
          <w:trHeight w:val="397" w:hRule="atLeast"/>
          <w:jc w:val="center"/>
        </w:trPr>
        <w:tc>
          <w:tcPr>
            <w:tcW w:w="1859" w:type="dxa"/>
            <w:tcBorders>
              <w:top w:val="single" w:color="auto" w:sz="4" w:space="0"/>
              <w:left w:val="single" w:color="auto" w:sz="4" w:space="0"/>
              <w:bottom w:val="single" w:color="auto" w:sz="4" w:space="0"/>
              <w:right w:val="single" w:color="auto" w:sz="4" w:space="0"/>
            </w:tcBorders>
            <w:noWrap/>
            <w:vAlign w:val="center"/>
          </w:tcPr>
          <w:p w14:paraId="173C55E6">
            <w:pPr>
              <w:widowControl/>
              <w:spacing w:line="260" w:lineRule="exact"/>
              <w:jc w:val="center"/>
              <w:rPr>
                <w:rFonts w:ascii="Times New Roman" w:hAnsi="Times New Roman"/>
                <w:color w:val="000000"/>
                <w:kern w:val="0"/>
                <w:sz w:val="20"/>
              </w:rPr>
            </w:pPr>
            <w:r>
              <w:rPr>
                <w:rFonts w:ascii="Times New Roman" w:hAnsi="Times New Roman"/>
                <w:color w:val="000000"/>
                <w:kern w:val="0"/>
                <w:sz w:val="20"/>
              </w:rPr>
              <w:t>名称</w:t>
            </w:r>
          </w:p>
        </w:tc>
        <w:tc>
          <w:tcPr>
            <w:tcW w:w="1581" w:type="dxa"/>
            <w:tcBorders>
              <w:top w:val="single" w:color="auto" w:sz="4" w:space="0"/>
              <w:left w:val="nil"/>
              <w:bottom w:val="single" w:color="auto" w:sz="4" w:space="0"/>
              <w:right w:val="single" w:color="auto" w:sz="4" w:space="0"/>
            </w:tcBorders>
            <w:noWrap/>
            <w:vAlign w:val="center"/>
          </w:tcPr>
          <w:p w14:paraId="690B8873">
            <w:pPr>
              <w:widowControl/>
              <w:spacing w:line="260" w:lineRule="exact"/>
              <w:jc w:val="center"/>
              <w:rPr>
                <w:rFonts w:ascii="Times New Roman" w:hAnsi="Times New Roman"/>
                <w:color w:val="000000"/>
                <w:kern w:val="0"/>
                <w:sz w:val="20"/>
              </w:rPr>
            </w:pPr>
            <w:r>
              <w:rPr>
                <w:rFonts w:ascii="Times New Roman" w:hAnsi="Times New Roman"/>
                <w:color w:val="000000"/>
                <w:kern w:val="0"/>
                <w:sz w:val="20"/>
              </w:rPr>
              <w:t>型号</w:t>
            </w:r>
          </w:p>
        </w:tc>
        <w:tc>
          <w:tcPr>
            <w:tcW w:w="2280" w:type="dxa"/>
            <w:tcBorders>
              <w:top w:val="single" w:color="auto" w:sz="4" w:space="0"/>
              <w:left w:val="nil"/>
              <w:bottom w:val="single" w:color="auto" w:sz="4" w:space="0"/>
              <w:right w:val="single" w:color="auto" w:sz="4" w:space="0"/>
            </w:tcBorders>
            <w:noWrap/>
            <w:vAlign w:val="center"/>
          </w:tcPr>
          <w:p w14:paraId="418E003E">
            <w:pPr>
              <w:widowControl/>
              <w:spacing w:line="260" w:lineRule="exact"/>
              <w:jc w:val="center"/>
              <w:rPr>
                <w:rFonts w:ascii="Times New Roman" w:hAnsi="Times New Roman"/>
                <w:color w:val="000000"/>
                <w:kern w:val="0"/>
                <w:sz w:val="20"/>
              </w:rPr>
            </w:pPr>
            <w:r>
              <w:rPr>
                <w:rFonts w:ascii="Times New Roman" w:hAnsi="Times New Roman"/>
                <w:color w:val="000000"/>
                <w:kern w:val="0"/>
                <w:sz w:val="20"/>
              </w:rPr>
              <w:t>特征描述</w:t>
            </w:r>
          </w:p>
        </w:tc>
        <w:tc>
          <w:tcPr>
            <w:tcW w:w="645" w:type="dxa"/>
            <w:tcBorders>
              <w:top w:val="single" w:color="auto" w:sz="4" w:space="0"/>
              <w:left w:val="nil"/>
              <w:bottom w:val="single" w:color="auto" w:sz="4" w:space="0"/>
              <w:right w:val="single" w:color="auto" w:sz="4" w:space="0"/>
            </w:tcBorders>
            <w:noWrap/>
            <w:vAlign w:val="center"/>
          </w:tcPr>
          <w:p w14:paraId="4DCE847F">
            <w:pPr>
              <w:widowControl/>
              <w:spacing w:line="260" w:lineRule="exact"/>
              <w:jc w:val="center"/>
              <w:rPr>
                <w:rFonts w:ascii="Times New Roman" w:hAnsi="Times New Roman"/>
                <w:color w:val="000000"/>
                <w:kern w:val="0"/>
                <w:sz w:val="20"/>
              </w:rPr>
            </w:pPr>
            <w:r>
              <w:rPr>
                <w:rFonts w:hint="eastAsia" w:ascii="Times New Roman" w:hAnsi="Times New Roman"/>
                <w:color w:val="000000"/>
                <w:kern w:val="0"/>
                <w:sz w:val="20"/>
              </w:rPr>
              <w:t>计量</w:t>
            </w:r>
            <w:r>
              <w:rPr>
                <w:rFonts w:ascii="Times New Roman" w:hAnsi="Times New Roman"/>
                <w:color w:val="000000"/>
                <w:kern w:val="0"/>
                <w:sz w:val="20"/>
              </w:rPr>
              <w:t>单位</w:t>
            </w:r>
          </w:p>
        </w:tc>
        <w:tc>
          <w:tcPr>
            <w:tcW w:w="790" w:type="dxa"/>
            <w:tcBorders>
              <w:top w:val="single" w:color="auto" w:sz="4" w:space="0"/>
              <w:left w:val="nil"/>
              <w:bottom w:val="single" w:color="auto" w:sz="4" w:space="0"/>
              <w:right w:val="single" w:color="auto" w:sz="4" w:space="0"/>
            </w:tcBorders>
            <w:noWrap/>
            <w:vAlign w:val="center"/>
          </w:tcPr>
          <w:p w14:paraId="09DCD275">
            <w:pPr>
              <w:widowControl/>
              <w:spacing w:line="260" w:lineRule="exact"/>
              <w:jc w:val="center"/>
              <w:rPr>
                <w:rFonts w:ascii="Times New Roman" w:hAnsi="Times New Roman"/>
                <w:color w:val="000000"/>
                <w:kern w:val="0"/>
                <w:sz w:val="20"/>
              </w:rPr>
            </w:pPr>
            <w:r>
              <w:rPr>
                <w:rFonts w:ascii="Times New Roman" w:hAnsi="Times New Roman"/>
                <w:color w:val="000000"/>
                <w:kern w:val="0"/>
                <w:sz w:val="20"/>
              </w:rPr>
              <w:t>数量</w:t>
            </w:r>
          </w:p>
        </w:tc>
        <w:tc>
          <w:tcPr>
            <w:tcW w:w="2441" w:type="dxa"/>
            <w:tcBorders>
              <w:top w:val="single" w:color="auto" w:sz="4" w:space="0"/>
              <w:left w:val="nil"/>
              <w:bottom w:val="single" w:color="auto" w:sz="4" w:space="0"/>
              <w:right w:val="single" w:color="auto" w:sz="4" w:space="0"/>
            </w:tcBorders>
            <w:noWrap/>
            <w:vAlign w:val="center"/>
          </w:tcPr>
          <w:p w14:paraId="2EB49F90">
            <w:pPr>
              <w:widowControl/>
              <w:spacing w:line="260" w:lineRule="exact"/>
              <w:jc w:val="center"/>
              <w:rPr>
                <w:rFonts w:ascii="Times New Roman" w:hAnsi="Times New Roman"/>
                <w:color w:val="000000"/>
                <w:kern w:val="0"/>
                <w:sz w:val="20"/>
              </w:rPr>
            </w:pPr>
            <w:r>
              <w:rPr>
                <w:rFonts w:ascii="Times New Roman" w:hAnsi="Times New Roman"/>
                <w:color w:val="000000"/>
                <w:kern w:val="0"/>
                <w:sz w:val="20"/>
              </w:rPr>
              <w:t>备注</w:t>
            </w:r>
          </w:p>
        </w:tc>
      </w:tr>
      <w:tr w14:paraId="248AA525">
        <w:tblPrEx>
          <w:tblCellMar>
            <w:top w:w="0" w:type="dxa"/>
            <w:left w:w="23" w:type="dxa"/>
            <w:bottom w:w="0" w:type="dxa"/>
            <w:right w:w="23" w:type="dxa"/>
          </w:tblCellMar>
        </w:tblPrEx>
        <w:trPr>
          <w:trHeight w:val="397" w:hRule="atLeast"/>
          <w:jc w:val="center"/>
        </w:trPr>
        <w:tc>
          <w:tcPr>
            <w:tcW w:w="1859" w:type="dxa"/>
            <w:tcBorders>
              <w:top w:val="nil"/>
              <w:left w:val="single" w:color="auto" w:sz="4" w:space="0"/>
              <w:bottom w:val="single" w:color="auto" w:sz="4" w:space="0"/>
              <w:right w:val="single" w:color="auto" w:sz="4" w:space="0"/>
            </w:tcBorders>
            <w:vAlign w:val="center"/>
          </w:tcPr>
          <w:p w14:paraId="4A1B2D5C">
            <w:pPr>
              <w:widowControl/>
              <w:spacing w:line="260" w:lineRule="exact"/>
              <w:jc w:val="center"/>
              <w:rPr>
                <w:rFonts w:ascii="Times New Roman" w:hAnsi="Times New Roman"/>
                <w:color w:val="000000"/>
                <w:kern w:val="0"/>
                <w:sz w:val="20"/>
              </w:rPr>
            </w:pPr>
            <w:r>
              <w:rPr>
                <w:rFonts w:hint="eastAsia" w:ascii="Times New Roman" w:hAnsi="Times New Roman"/>
                <w:color w:val="000000"/>
                <w:kern w:val="0"/>
                <w:sz w:val="20"/>
              </w:rPr>
              <w:t>电动双梁桥式起重机（含轨道、车档、预埋件等配件）</w:t>
            </w:r>
          </w:p>
        </w:tc>
        <w:tc>
          <w:tcPr>
            <w:tcW w:w="1581" w:type="dxa"/>
            <w:tcBorders>
              <w:top w:val="nil"/>
              <w:left w:val="nil"/>
              <w:bottom w:val="single" w:color="auto" w:sz="4" w:space="0"/>
              <w:right w:val="single" w:color="auto" w:sz="4" w:space="0"/>
            </w:tcBorders>
            <w:vAlign w:val="center"/>
          </w:tcPr>
          <w:p w14:paraId="06EFCD39">
            <w:pPr>
              <w:widowControl/>
              <w:spacing w:line="260" w:lineRule="exact"/>
              <w:jc w:val="center"/>
              <w:rPr>
                <w:rFonts w:ascii="Times New Roman" w:hAnsi="Times New Roman"/>
                <w:color w:val="000000"/>
                <w:kern w:val="0"/>
                <w:sz w:val="20"/>
              </w:rPr>
            </w:pPr>
            <w:r>
              <w:rPr>
                <w:rFonts w:hint="eastAsia" w:ascii="Times New Roman" w:hAnsi="Times New Roman"/>
                <w:color w:val="000000"/>
                <w:kern w:val="0"/>
                <w:sz w:val="20"/>
              </w:rPr>
              <w:t>QD型，320/50kN，跨距12.7m，起吊行程29.2m</w:t>
            </w:r>
          </w:p>
        </w:tc>
        <w:tc>
          <w:tcPr>
            <w:tcW w:w="2280" w:type="dxa"/>
            <w:tcBorders>
              <w:top w:val="nil"/>
              <w:left w:val="nil"/>
              <w:bottom w:val="single" w:color="auto" w:sz="4" w:space="0"/>
              <w:right w:val="single" w:color="auto" w:sz="4" w:space="0"/>
            </w:tcBorders>
            <w:vAlign w:val="center"/>
          </w:tcPr>
          <w:p w14:paraId="53F1EB8B">
            <w:pPr>
              <w:widowControl/>
              <w:spacing w:line="260" w:lineRule="exact"/>
              <w:jc w:val="center"/>
              <w:rPr>
                <w:rFonts w:ascii="Times New Roman" w:hAnsi="Times New Roman"/>
                <w:color w:val="000000"/>
                <w:kern w:val="0"/>
                <w:sz w:val="20"/>
              </w:rPr>
            </w:pPr>
            <w:r>
              <w:rPr>
                <w:rFonts w:hint="eastAsia" w:ascii="Times New Roman" w:hAnsi="Times New Roman"/>
                <w:color w:val="000000"/>
                <w:kern w:val="0"/>
                <w:sz w:val="20"/>
              </w:rPr>
              <w:t>相关参数需出图纸由设计单位及建设单位确认</w:t>
            </w:r>
          </w:p>
        </w:tc>
        <w:tc>
          <w:tcPr>
            <w:tcW w:w="645" w:type="dxa"/>
            <w:tcBorders>
              <w:top w:val="nil"/>
              <w:left w:val="nil"/>
              <w:bottom w:val="single" w:color="auto" w:sz="4" w:space="0"/>
              <w:right w:val="single" w:color="auto" w:sz="4" w:space="0"/>
            </w:tcBorders>
            <w:vAlign w:val="center"/>
          </w:tcPr>
          <w:p w14:paraId="4DD57D38">
            <w:pPr>
              <w:widowControl/>
              <w:spacing w:line="260" w:lineRule="exact"/>
              <w:jc w:val="center"/>
              <w:rPr>
                <w:rFonts w:ascii="Times New Roman" w:hAnsi="Times New Roman"/>
                <w:color w:val="000000"/>
                <w:kern w:val="0"/>
                <w:sz w:val="20"/>
              </w:rPr>
            </w:pPr>
            <w:r>
              <w:rPr>
                <w:rFonts w:hint="eastAsia" w:ascii="Times New Roman" w:hAnsi="Times New Roman"/>
                <w:color w:val="000000"/>
                <w:kern w:val="0"/>
                <w:sz w:val="20"/>
              </w:rPr>
              <w:t>台套</w:t>
            </w:r>
          </w:p>
        </w:tc>
        <w:tc>
          <w:tcPr>
            <w:tcW w:w="790" w:type="dxa"/>
            <w:tcBorders>
              <w:top w:val="nil"/>
              <w:left w:val="nil"/>
              <w:bottom w:val="single" w:color="auto" w:sz="4" w:space="0"/>
              <w:right w:val="single" w:color="auto" w:sz="4" w:space="0"/>
            </w:tcBorders>
            <w:noWrap/>
            <w:vAlign w:val="center"/>
          </w:tcPr>
          <w:p w14:paraId="71D716BB">
            <w:pPr>
              <w:widowControl/>
              <w:spacing w:line="260" w:lineRule="exact"/>
              <w:jc w:val="center"/>
              <w:rPr>
                <w:rFonts w:ascii="Times New Roman" w:hAnsi="Times New Roman"/>
                <w:color w:val="000000"/>
                <w:kern w:val="0"/>
                <w:sz w:val="20"/>
              </w:rPr>
            </w:pPr>
            <w:r>
              <w:rPr>
                <w:rFonts w:hint="eastAsia" w:ascii="Times New Roman" w:hAnsi="Times New Roman"/>
                <w:color w:val="000000"/>
                <w:kern w:val="0"/>
                <w:sz w:val="20"/>
              </w:rPr>
              <w:t>1</w:t>
            </w:r>
          </w:p>
        </w:tc>
        <w:tc>
          <w:tcPr>
            <w:tcW w:w="2441" w:type="dxa"/>
            <w:tcBorders>
              <w:top w:val="nil"/>
              <w:left w:val="nil"/>
              <w:bottom w:val="single" w:color="auto" w:sz="4" w:space="0"/>
              <w:right w:val="single" w:color="auto" w:sz="4" w:space="0"/>
            </w:tcBorders>
            <w:vAlign w:val="center"/>
          </w:tcPr>
          <w:p w14:paraId="7F949A33">
            <w:pPr>
              <w:widowControl/>
              <w:spacing w:line="260" w:lineRule="exact"/>
              <w:jc w:val="center"/>
              <w:rPr>
                <w:rFonts w:ascii="Times New Roman" w:hAnsi="Times New Roman"/>
                <w:color w:val="000000"/>
                <w:kern w:val="0"/>
                <w:sz w:val="20"/>
              </w:rPr>
            </w:pPr>
            <w:r>
              <w:rPr>
                <w:rFonts w:hint="eastAsia" w:ascii="Times New Roman" w:hAnsi="Times New Roman"/>
                <w:color w:val="000000"/>
                <w:kern w:val="0"/>
                <w:sz w:val="20"/>
              </w:rPr>
              <w:t>含安装及特种设备行业报验等</w:t>
            </w:r>
          </w:p>
        </w:tc>
      </w:tr>
      <w:tr w14:paraId="177684E5">
        <w:tblPrEx>
          <w:tblCellMar>
            <w:top w:w="0" w:type="dxa"/>
            <w:left w:w="23" w:type="dxa"/>
            <w:bottom w:w="0" w:type="dxa"/>
            <w:right w:w="23" w:type="dxa"/>
          </w:tblCellMar>
        </w:tblPrEx>
        <w:trPr>
          <w:trHeight w:val="397" w:hRule="atLeast"/>
          <w:jc w:val="center"/>
        </w:trPr>
        <w:tc>
          <w:tcPr>
            <w:tcW w:w="1859" w:type="dxa"/>
            <w:tcBorders>
              <w:top w:val="nil"/>
              <w:left w:val="single" w:color="auto" w:sz="4" w:space="0"/>
              <w:bottom w:val="single" w:color="auto" w:sz="4" w:space="0"/>
              <w:right w:val="single" w:color="auto" w:sz="4" w:space="0"/>
            </w:tcBorders>
            <w:vAlign w:val="center"/>
          </w:tcPr>
          <w:p w14:paraId="4307BB96">
            <w:pPr>
              <w:widowControl/>
              <w:spacing w:line="260" w:lineRule="exact"/>
              <w:jc w:val="center"/>
              <w:rPr>
                <w:rFonts w:ascii="Times New Roman" w:hAnsi="Times New Roman"/>
                <w:color w:val="000000"/>
                <w:kern w:val="0"/>
                <w:sz w:val="20"/>
              </w:rPr>
            </w:pPr>
            <w:r>
              <w:rPr>
                <w:rFonts w:hint="eastAsia" w:ascii="Times New Roman" w:hAnsi="Times New Roman"/>
                <w:color w:val="000000"/>
                <w:kern w:val="0"/>
                <w:sz w:val="20"/>
              </w:rPr>
              <w:t>电动双梁桥式起重机（含轨道、车档、预埋件等配件）</w:t>
            </w:r>
          </w:p>
        </w:tc>
        <w:tc>
          <w:tcPr>
            <w:tcW w:w="1581" w:type="dxa"/>
            <w:tcBorders>
              <w:top w:val="nil"/>
              <w:left w:val="nil"/>
              <w:bottom w:val="single" w:color="auto" w:sz="4" w:space="0"/>
              <w:right w:val="single" w:color="auto" w:sz="4" w:space="0"/>
            </w:tcBorders>
            <w:vAlign w:val="center"/>
          </w:tcPr>
          <w:p w14:paraId="7D602068">
            <w:pPr>
              <w:widowControl/>
              <w:spacing w:line="260" w:lineRule="exact"/>
              <w:rPr>
                <w:rFonts w:ascii="Times New Roman" w:hAnsi="Times New Roman"/>
                <w:color w:val="000000"/>
                <w:kern w:val="0"/>
                <w:sz w:val="20"/>
              </w:rPr>
            </w:pPr>
            <w:r>
              <w:rPr>
                <w:rFonts w:hint="eastAsia" w:ascii="Times New Roman" w:hAnsi="Times New Roman"/>
                <w:color w:val="000000"/>
                <w:kern w:val="0"/>
                <w:sz w:val="20"/>
              </w:rPr>
              <w:t>LH型，300kN，跨距：8.1m，起吊行程24.2m</w:t>
            </w:r>
          </w:p>
        </w:tc>
        <w:tc>
          <w:tcPr>
            <w:tcW w:w="2280" w:type="dxa"/>
            <w:tcBorders>
              <w:top w:val="nil"/>
              <w:left w:val="nil"/>
              <w:bottom w:val="single" w:color="auto" w:sz="4" w:space="0"/>
              <w:right w:val="single" w:color="auto" w:sz="4" w:space="0"/>
            </w:tcBorders>
            <w:vAlign w:val="center"/>
          </w:tcPr>
          <w:p w14:paraId="5B6DED72">
            <w:pPr>
              <w:widowControl/>
              <w:spacing w:line="260" w:lineRule="exact"/>
              <w:jc w:val="center"/>
              <w:rPr>
                <w:rFonts w:ascii="Times New Roman" w:hAnsi="Times New Roman"/>
                <w:color w:val="000000"/>
                <w:kern w:val="0"/>
                <w:sz w:val="20"/>
              </w:rPr>
            </w:pPr>
            <w:r>
              <w:rPr>
                <w:rFonts w:hint="eastAsia" w:ascii="Times New Roman" w:hAnsi="Times New Roman"/>
                <w:color w:val="000000"/>
                <w:kern w:val="0"/>
                <w:sz w:val="20"/>
              </w:rPr>
              <w:t>相关参数需出图纸由设计单位及建设单位确认</w:t>
            </w:r>
          </w:p>
        </w:tc>
        <w:tc>
          <w:tcPr>
            <w:tcW w:w="645" w:type="dxa"/>
            <w:tcBorders>
              <w:top w:val="nil"/>
              <w:left w:val="nil"/>
              <w:bottom w:val="single" w:color="auto" w:sz="4" w:space="0"/>
              <w:right w:val="single" w:color="auto" w:sz="4" w:space="0"/>
            </w:tcBorders>
            <w:vAlign w:val="center"/>
          </w:tcPr>
          <w:p w14:paraId="3782D716">
            <w:pPr>
              <w:widowControl/>
              <w:spacing w:line="260" w:lineRule="exact"/>
              <w:jc w:val="center"/>
              <w:rPr>
                <w:rFonts w:ascii="Times New Roman" w:hAnsi="Times New Roman"/>
                <w:color w:val="000000"/>
                <w:kern w:val="0"/>
                <w:sz w:val="20"/>
              </w:rPr>
            </w:pPr>
            <w:r>
              <w:rPr>
                <w:rFonts w:hint="eastAsia" w:ascii="Times New Roman" w:hAnsi="Times New Roman"/>
                <w:color w:val="000000"/>
                <w:kern w:val="0"/>
                <w:sz w:val="20"/>
              </w:rPr>
              <w:t>台套</w:t>
            </w:r>
          </w:p>
        </w:tc>
        <w:tc>
          <w:tcPr>
            <w:tcW w:w="790" w:type="dxa"/>
            <w:tcBorders>
              <w:top w:val="nil"/>
              <w:left w:val="nil"/>
              <w:bottom w:val="single" w:color="auto" w:sz="4" w:space="0"/>
              <w:right w:val="single" w:color="auto" w:sz="4" w:space="0"/>
            </w:tcBorders>
            <w:noWrap/>
            <w:vAlign w:val="center"/>
          </w:tcPr>
          <w:p w14:paraId="350D497E">
            <w:pPr>
              <w:widowControl/>
              <w:spacing w:line="260" w:lineRule="exact"/>
              <w:jc w:val="center"/>
              <w:rPr>
                <w:rFonts w:ascii="Times New Roman" w:hAnsi="Times New Roman"/>
                <w:color w:val="000000"/>
                <w:kern w:val="0"/>
                <w:sz w:val="20"/>
              </w:rPr>
            </w:pPr>
            <w:r>
              <w:rPr>
                <w:rFonts w:hint="eastAsia" w:ascii="Times New Roman" w:hAnsi="Times New Roman"/>
                <w:color w:val="000000"/>
                <w:kern w:val="0"/>
                <w:sz w:val="20"/>
              </w:rPr>
              <w:t>2</w:t>
            </w:r>
          </w:p>
        </w:tc>
        <w:tc>
          <w:tcPr>
            <w:tcW w:w="2441" w:type="dxa"/>
            <w:tcBorders>
              <w:top w:val="nil"/>
              <w:left w:val="nil"/>
              <w:bottom w:val="single" w:color="auto" w:sz="4" w:space="0"/>
              <w:right w:val="single" w:color="auto" w:sz="4" w:space="0"/>
            </w:tcBorders>
            <w:noWrap/>
            <w:vAlign w:val="center"/>
          </w:tcPr>
          <w:p w14:paraId="013B456E">
            <w:pPr>
              <w:widowControl/>
              <w:spacing w:line="260" w:lineRule="exact"/>
              <w:jc w:val="center"/>
              <w:rPr>
                <w:rFonts w:ascii="Times New Roman" w:hAnsi="Times New Roman"/>
                <w:color w:val="000000"/>
                <w:kern w:val="0"/>
                <w:sz w:val="20"/>
              </w:rPr>
            </w:pPr>
            <w:r>
              <w:rPr>
                <w:rFonts w:hint="eastAsia" w:ascii="Times New Roman" w:hAnsi="Times New Roman"/>
                <w:color w:val="000000"/>
                <w:kern w:val="0"/>
                <w:sz w:val="20"/>
              </w:rPr>
              <w:t>含安装及特种设备行业报验等</w:t>
            </w:r>
          </w:p>
        </w:tc>
      </w:tr>
      <w:tr w14:paraId="68D238B8">
        <w:tblPrEx>
          <w:tblCellMar>
            <w:top w:w="0" w:type="dxa"/>
            <w:left w:w="23" w:type="dxa"/>
            <w:bottom w:w="0" w:type="dxa"/>
            <w:right w:w="23" w:type="dxa"/>
          </w:tblCellMar>
        </w:tblPrEx>
        <w:trPr>
          <w:trHeight w:val="397" w:hRule="atLeast"/>
          <w:jc w:val="center"/>
        </w:trPr>
        <w:tc>
          <w:tcPr>
            <w:tcW w:w="1859" w:type="dxa"/>
            <w:tcBorders>
              <w:top w:val="nil"/>
              <w:left w:val="single" w:color="auto" w:sz="4" w:space="0"/>
              <w:bottom w:val="single" w:color="auto" w:sz="4" w:space="0"/>
              <w:right w:val="single" w:color="auto" w:sz="4" w:space="0"/>
            </w:tcBorders>
            <w:vAlign w:val="center"/>
          </w:tcPr>
          <w:p w14:paraId="76904114">
            <w:pPr>
              <w:widowControl/>
              <w:spacing w:line="260" w:lineRule="exact"/>
              <w:jc w:val="center"/>
              <w:rPr>
                <w:rFonts w:ascii="Times New Roman" w:hAnsi="Times New Roman"/>
                <w:color w:val="000000"/>
                <w:kern w:val="0"/>
                <w:sz w:val="20"/>
              </w:rPr>
            </w:pPr>
            <w:r>
              <w:rPr>
                <w:rFonts w:hint="eastAsia" w:ascii="Times New Roman" w:hAnsi="Times New Roman"/>
                <w:color w:val="000000"/>
                <w:kern w:val="0"/>
                <w:sz w:val="20"/>
              </w:rPr>
              <w:t>轨道</w:t>
            </w:r>
          </w:p>
        </w:tc>
        <w:tc>
          <w:tcPr>
            <w:tcW w:w="1581" w:type="dxa"/>
            <w:tcBorders>
              <w:top w:val="nil"/>
              <w:left w:val="nil"/>
              <w:bottom w:val="single" w:color="auto" w:sz="4" w:space="0"/>
              <w:right w:val="single" w:color="auto" w:sz="4" w:space="0"/>
            </w:tcBorders>
            <w:vAlign w:val="center"/>
          </w:tcPr>
          <w:p w14:paraId="2DF0700E">
            <w:pPr>
              <w:widowControl/>
              <w:spacing w:line="260" w:lineRule="exact"/>
              <w:jc w:val="center"/>
              <w:rPr>
                <w:rFonts w:ascii="Times New Roman" w:hAnsi="Times New Roman"/>
                <w:color w:val="000000"/>
                <w:kern w:val="0"/>
                <w:sz w:val="20"/>
              </w:rPr>
            </w:pPr>
            <w:r>
              <w:rPr>
                <w:rFonts w:hint="eastAsia" w:ascii="Times New Roman" w:hAnsi="Times New Roman"/>
                <w:color w:val="000000"/>
                <w:kern w:val="0"/>
                <w:sz w:val="20"/>
              </w:rPr>
              <w:t>QU70</w:t>
            </w:r>
          </w:p>
        </w:tc>
        <w:tc>
          <w:tcPr>
            <w:tcW w:w="2280" w:type="dxa"/>
            <w:tcBorders>
              <w:top w:val="nil"/>
              <w:left w:val="nil"/>
              <w:bottom w:val="single" w:color="auto" w:sz="4" w:space="0"/>
              <w:right w:val="single" w:color="auto" w:sz="4" w:space="0"/>
            </w:tcBorders>
            <w:vAlign w:val="center"/>
          </w:tcPr>
          <w:p w14:paraId="75B52005">
            <w:pPr>
              <w:widowControl/>
              <w:spacing w:line="260" w:lineRule="exact"/>
              <w:jc w:val="center"/>
              <w:rPr>
                <w:rFonts w:ascii="Times New Roman" w:hAnsi="Times New Roman"/>
                <w:color w:val="000000"/>
                <w:kern w:val="0"/>
                <w:sz w:val="20"/>
              </w:rPr>
            </w:pPr>
          </w:p>
        </w:tc>
        <w:tc>
          <w:tcPr>
            <w:tcW w:w="645" w:type="dxa"/>
            <w:tcBorders>
              <w:top w:val="nil"/>
              <w:left w:val="nil"/>
              <w:bottom w:val="single" w:color="auto" w:sz="4" w:space="0"/>
              <w:right w:val="single" w:color="auto" w:sz="4" w:space="0"/>
            </w:tcBorders>
            <w:vAlign w:val="center"/>
          </w:tcPr>
          <w:p w14:paraId="4458A6A0">
            <w:pPr>
              <w:widowControl/>
              <w:spacing w:line="260" w:lineRule="exact"/>
              <w:jc w:val="center"/>
              <w:rPr>
                <w:rFonts w:ascii="Times New Roman" w:hAnsi="Times New Roman"/>
                <w:color w:val="000000"/>
                <w:kern w:val="0"/>
                <w:sz w:val="20"/>
              </w:rPr>
            </w:pPr>
            <w:r>
              <w:rPr>
                <w:rFonts w:hint="eastAsia" w:ascii="Times New Roman" w:hAnsi="Times New Roman"/>
                <w:color w:val="000000"/>
                <w:kern w:val="0"/>
                <w:sz w:val="20"/>
              </w:rPr>
              <w:t>m</w:t>
            </w:r>
          </w:p>
        </w:tc>
        <w:tc>
          <w:tcPr>
            <w:tcW w:w="790" w:type="dxa"/>
            <w:tcBorders>
              <w:top w:val="nil"/>
              <w:left w:val="nil"/>
              <w:bottom w:val="single" w:color="auto" w:sz="4" w:space="0"/>
              <w:right w:val="single" w:color="auto" w:sz="4" w:space="0"/>
            </w:tcBorders>
            <w:noWrap/>
            <w:vAlign w:val="center"/>
          </w:tcPr>
          <w:p w14:paraId="3999F5A1">
            <w:pPr>
              <w:widowControl/>
              <w:spacing w:line="260" w:lineRule="exact"/>
              <w:jc w:val="center"/>
              <w:rPr>
                <w:rFonts w:ascii="Times New Roman" w:hAnsi="Times New Roman"/>
                <w:color w:val="000000"/>
                <w:kern w:val="0"/>
                <w:sz w:val="20"/>
              </w:rPr>
            </w:pPr>
            <w:r>
              <w:rPr>
                <w:rFonts w:hint="eastAsia" w:ascii="Times New Roman" w:hAnsi="Times New Roman"/>
                <w:color w:val="000000"/>
                <w:kern w:val="0"/>
                <w:sz w:val="20"/>
              </w:rPr>
              <w:t>300</w:t>
            </w:r>
          </w:p>
        </w:tc>
        <w:tc>
          <w:tcPr>
            <w:tcW w:w="2441" w:type="dxa"/>
            <w:tcBorders>
              <w:top w:val="nil"/>
              <w:left w:val="nil"/>
              <w:bottom w:val="single" w:color="auto" w:sz="4" w:space="0"/>
              <w:right w:val="single" w:color="auto" w:sz="4" w:space="0"/>
            </w:tcBorders>
            <w:noWrap/>
            <w:vAlign w:val="center"/>
          </w:tcPr>
          <w:p w14:paraId="74CF1E61">
            <w:pPr>
              <w:widowControl/>
              <w:spacing w:line="260" w:lineRule="exact"/>
              <w:jc w:val="center"/>
              <w:rPr>
                <w:rFonts w:ascii="Times New Roman" w:hAnsi="Times New Roman"/>
                <w:color w:val="000000"/>
                <w:kern w:val="0"/>
                <w:sz w:val="20"/>
              </w:rPr>
            </w:pPr>
            <w:r>
              <w:rPr>
                <w:rFonts w:hint="eastAsia" w:ascii="Times New Roman" w:hAnsi="Times New Roman"/>
                <w:color w:val="000000"/>
                <w:kern w:val="0"/>
                <w:sz w:val="20"/>
              </w:rPr>
              <w:t>含安装（工程量以实际结算量为准）</w:t>
            </w:r>
          </w:p>
        </w:tc>
      </w:tr>
      <w:tr w14:paraId="1BE3C5B3">
        <w:tblPrEx>
          <w:tblCellMar>
            <w:top w:w="0" w:type="dxa"/>
            <w:left w:w="23" w:type="dxa"/>
            <w:bottom w:w="0" w:type="dxa"/>
            <w:right w:w="23" w:type="dxa"/>
          </w:tblCellMar>
        </w:tblPrEx>
        <w:trPr>
          <w:trHeight w:val="397" w:hRule="atLeast"/>
          <w:jc w:val="center"/>
        </w:trPr>
        <w:tc>
          <w:tcPr>
            <w:tcW w:w="1859" w:type="dxa"/>
            <w:tcBorders>
              <w:top w:val="nil"/>
              <w:left w:val="single" w:color="auto" w:sz="4" w:space="0"/>
              <w:bottom w:val="single" w:color="auto" w:sz="4" w:space="0"/>
              <w:right w:val="single" w:color="auto" w:sz="4" w:space="0"/>
            </w:tcBorders>
            <w:vAlign w:val="center"/>
          </w:tcPr>
          <w:p w14:paraId="6BDD2169">
            <w:pPr>
              <w:widowControl/>
              <w:spacing w:line="260" w:lineRule="exact"/>
              <w:jc w:val="center"/>
              <w:rPr>
                <w:rFonts w:ascii="Times New Roman" w:hAnsi="Times New Roman"/>
                <w:color w:val="000000"/>
                <w:kern w:val="0"/>
                <w:sz w:val="20"/>
              </w:rPr>
            </w:pPr>
            <w:r>
              <w:rPr>
                <w:rFonts w:hint="eastAsia" w:ascii="Times New Roman" w:hAnsi="Times New Roman"/>
                <w:color w:val="000000"/>
                <w:kern w:val="0"/>
                <w:sz w:val="20"/>
              </w:rPr>
              <w:t>封闭式滑触线</w:t>
            </w:r>
          </w:p>
        </w:tc>
        <w:tc>
          <w:tcPr>
            <w:tcW w:w="1581" w:type="dxa"/>
            <w:tcBorders>
              <w:top w:val="nil"/>
              <w:left w:val="nil"/>
              <w:bottom w:val="single" w:color="auto" w:sz="4" w:space="0"/>
              <w:right w:val="single" w:color="auto" w:sz="4" w:space="0"/>
            </w:tcBorders>
            <w:vAlign w:val="center"/>
          </w:tcPr>
          <w:p w14:paraId="4E55D024">
            <w:pPr>
              <w:widowControl/>
              <w:spacing w:line="260" w:lineRule="exact"/>
              <w:jc w:val="center"/>
              <w:rPr>
                <w:rFonts w:ascii="Times New Roman" w:hAnsi="Times New Roman"/>
                <w:color w:val="000000"/>
                <w:kern w:val="0"/>
                <w:sz w:val="20"/>
              </w:rPr>
            </w:pPr>
          </w:p>
        </w:tc>
        <w:tc>
          <w:tcPr>
            <w:tcW w:w="2280" w:type="dxa"/>
            <w:tcBorders>
              <w:top w:val="nil"/>
              <w:left w:val="nil"/>
              <w:bottom w:val="single" w:color="auto" w:sz="4" w:space="0"/>
              <w:right w:val="single" w:color="auto" w:sz="4" w:space="0"/>
            </w:tcBorders>
            <w:vAlign w:val="center"/>
          </w:tcPr>
          <w:p w14:paraId="6C12F80B">
            <w:pPr>
              <w:widowControl/>
              <w:spacing w:line="260" w:lineRule="exact"/>
              <w:jc w:val="center"/>
              <w:rPr>
                <w:rFonts w:ascii="Times New Roman" w:hAnsi="Times New Roman"/>
                <w:color w:val="000000"/>
                <w:kern w:val="0"/>
                <w:sz w:val="20"/>
              </w:rPr>
            </w:pPr>
          </w:p>
        </w:tc>
        <w:tc>
          <w:tcPr>
            <w:tcW w:w="645" w:type="dxa"/>
            <w:tcBorders>
              <w:top w:val="nil"/>
              <w:left w:val="nil"/>
              <w:bottom w:val="single" w:color="auto" w:sz="4" w:space="0"/>
              <w:right w:val="single" w:color="auto" w:sz="4" w:space="0"/>
            </w:tcBorders>
            <w:vAlign w:val="center"/>
          </w:tcPr>
          <w:p w14:paraId="224A4C98">
            <w:pPr>
              <w:widowControl/>
              <w:spacing w:line="260" w:lineRule="exact"/>
              <w:jc w:val="center"/>
              <w:rPr>
                <w:rFonts w:ascii="Times New Roman" w:hAnsi="Times New Roman"/>
                <w:color w:val="000000"/>
                <w:kern w:val="0"/>
                <w:sz w:val="20"/>
              </w:rPr>
            </w:pPr>
            <w:r>
              <w:rPr>
                <w:rFonts w:hint="eastAsia" w:ascii="Times New Roman" w:hAnsi="Times New Roman"/>
                <w:color w:val="000000"/>
                <w:kern w:val="0"/>
                <w:sz w:val="20"/>
              </w:rPr>
              <w:t>m</w:t>
            </w:r>
          </w:p>
        </w:tc>
        <w:tc>
          <w:tcPr>
            <w:tcW w:w="790" w:type="dxa"/>
            <w:tcBorders>
              <w:top w:val="nil"/>
              <w:left w:val="nil"/>
              <w:bottom w:val="single" w:color="auto" w:sz="4" w:space="0"/>
              <w:right w:val="single" w:color="auto" w:sz="4" w:space="0"/>
            </w:tcBorders>
            <w:noWrap/>
            <w:vAlign w:val="center"/>
          </w:tcPr>
          <w:p w14:paraId="621652D8">
            <w:pPr>
              <w:widowControl/>
              <w:spacing w:line="260" w:lineRule="exact"/>
              <w:jc w:val="center"/>
              <w:rPr>
                <w:rFonts w:ascii="Times New Roman" w:hAnsi="Times New Roman"/>
                <w:color w:val="000000"/>
                <w:kern w:val="0"/>
                <w:sz w:val="20"/>
              </w:rPr>
            </w:pPr>
            <w:r>
              <w:rPr>
                <w:rFonts w:hint="eastAsia" w:ascii="Times New Roman" w:hAnsi="Times New Roman"/>
                <w:color w:val="000000"/>
                <w:kern w:val="0"/>
                <w:sz w:val="20"/>
              </w:rPr>
              <w:t>150</w:t>
            </w:r>
          </w:p>
        </w:tc>
        <w:tc>
          <w:tcPr>
            <w:tcW w:w="2441" w:type="dxa"/>
            <w:tcBorders>
              <w:top w:val="nil"/>
              <w:left w:val="nil"/>
              <w:bottom w:val="single" w:color="auto" w:sz="4" w:space="0"/>
              <w:right w:val="single" w:color="auto" w:sz="4" w:space="0"/>
            </w:tcBorders>
            <w:noWrap/>
            <w:vAlign w:val="center"/>
          </w:tcPr>
          <w:p w14:paraId="2599B5BE">
            <w:pPr>
              <w:widowControl/>
              <w:spacing w:line="260" w:lineRule="exact"/>
              <w:jc w:val="center"/>
              <w:rPr>
                <w:rFonts w:ascii="Times New Roman" w:hAnsi="Times New Roman"/>
                <w:color w:val="000000"/>
                <w:kern w:val="0"/>
                <w:sz w:val="20"/>
              </w:rPr>
            </w:pPr>
            <w:r>
              <w:rPr>
                <w:rFonts w:hint="eastAsia" w:ascii="Times New Roman" w:hAnsi="Times New Roman"/>
                <w:color w:val="000000"/>
                <w:kern w:val="0"/>
                <w:sz w:val="20"/>
              </w:rPr>
              <w:t>含安装（工程量以实际结算量为准）</w:t>
            </w:r>
          </w:p>
        </w:tc>
      </w:tr>
    </w:tbl>
    <w:p w14:paraId="2C74161B">
      <w:pPr>
        <w:spacing w:line="360" w:lineRule="auto"/>
        <w:ind w:firstLine="480" w:firstLineChars="200"/>
        <w:rPr>
          <w:sz w:val="24"/>
          <w:szCs w:val="24"/>
        </w:rPr>
      </w:pPr>
      <w:r>
        <w:rPr>
          <w:rFonts w:ascii="Times New Roman" w:hAnsi="Times New Roman"/>
          <w:sz w:val="24"/>
          <w:szCs w:val="24"/>
        </w:rPr>
        <w:t>2、</w:t>
      </w:r>
      <w:r>
        <w:rPr>
          <w:rFonts w:hint="eastAsia" w:ascii="Times New Roman" w:hAnsi="Times New Roman"/>
          <w:sz w:val="24"/>
          <w:szCs w:val="24"/>
        </w:rPr>
        <w:t>本次</w:t>
      </w:r>
      <w:r>
        <w:rPr>
          <w:rFonts w:hint="eastAsia" w:ascii="宋体" w:hAnsi="宋体"/>
          <w:sz w:val="24"/>
          <w:szCs w:val="24"/>
        </w:rPr>
        <w:t>桥式起重机采购投标</w:t>
      </w:r>
      <w:r>
        <w:rPr>
          <w:rFonts w:hint="eastAsia" w:ascii="宋体" w:hAnsi="宋体"/>
          <w:color w:val="333333"/>
          <w:kern w:val="0"/>
          <w:sz w:val="24"/>
          <w:szCs w:val="24"/>
        </w:rPr>
        <w:t>设定</w:t>
      </w:r>
      <w:r>
        <w:rPr>
          <w:rFonts w:hint="eastAsia" w:ascii="宋体" w:hAnsi="宋体"/>
          <w:b/>
          <w:color w:val="FF0000"/>
          <w:kern w:val="0"/>
          <w:sz w:val="24"/>
          <w:szCs w:val="24"/>
        </w:rPr>
        <w:t>最高限价柒拾伍</w:t>
      </w:r>
      <w:r>
        <w:rPr>
          <w:rFonts w:hint="eastAsia" w:ascii="宋体" w:hAnsi="宋体"/>
          <w:b/>
          <w:bCs/>
          <w:color w:val="FF0000"/>
          <w:kern w:val="0"/>
          <w:sz w:val="24"/>
          <w:szCs w:val="24"/>
        </w:rPr>
        <w:t>万元整</w:t>
      </w:r>
      <w:r>
        <w:rPr>
          <w:rFonts w:hint="eastAsia" w:ascii="宋体" w:hAnsi="宋体"/>
          <w:b/>
          <w:bCs/>
          <w:color w:val="333333"/>
          <w:kern w:val="0"/>
          <w:sz w:val="24"/>
          <w:szCs w:val="24"/>
        </w:rPr>
        <w:t>，</w:t>
      </w:r>
      <w:r>
        <w:rPr>
          <w:rFonts w:hint="eastAsia" w:ascii="宋体" w:hAnsi="宋体"/>
          <w:color w:val="333333"/>
          <w:kern w:val="0"/>
          <w:sz w:val="24"/>
          <w:szCs w:val="24"/>
        </w:rPr>
        <w:t>投标报价总额不得高于最高限价</w:t>
      </w:r>
      <w:r>
        <w:rPr>
          <w:rFonts w:hint="eastAsia"/>
          <w:sz w:val="24"/>
          <w:szCs w:val="24"/>
        </w:rPr>
        <w:t>。</w:t>
      </w:r>
      <w:r>
        <w:rPr>
          <w:rFonts w:hint="eastAsia" w:ascii="Times New Roman" w:hAnsi="Times New Roman"/>
          <w:sz w:val="24"/>
          <w:szCs w:val="24"/>
          <w:lang w:val="en-US" w:eastAsia="zh-CN"/>
        </w:rPr>
        <w:t>限价和</w:t>
      </w:r>
      <w:r>
        <w:rPr>
          <w:rFonts w:ascii="Times New Roman" w:hAnsi="Times New Roman"/>
          <w:sz w:val="24"/>
          <w:szCs w:val="24"/>
        </w:rPr>
        <w:t>投标价格为送货到招标人工地指定地点的价格，报价中均包含</w:t>
      </w:r>
      <w:r>
        <w:rPr>
          <w:rFonts w:hint="eastAsia" w:ascii="Times New Roman" w:hAnsi="Times New Roman"/>
          <w:sz w:val="24"/>
          <w:szCs w:val="24"/>
        </w:rPr>
        <w:t>（但不限于）</w:t>
      </w:r>
      <w:r>
        <w:rPr>
          <w:rFonts w:ascii="Times New Roman" w:hAnsi="Times New Roman"/>
          <w:sz w:val="24"/>
          <w:szCs w:val="24"/>
        </w:rPr>
        <w:t>货款、运输、</w:t>
      </w:r>
      <w:r>
        <w:rPr>
          <w:rFonts w:hint="eastAsia" w:ascii="Times New Roman" w:hAnsi="Times New Roman"/>
          <w:sz w:val="24"/>
          <w:szCs w:val="24"/>
        </w:rPr>
        <w:t>安装、特种设备报检、</w:t>
      </w:r>
      <w:r>
        <w:rPr>
          <w:rFonts w:ascii="Times New Roman" w:hAnsi="Times New Roman"/>
          <w:sz w:val="24"/>
          <w:szCs w:val="24"/>
        </w:rPr>
        <w:t>利润、税费等一切费用，并包含货物装车</w:t>
      </w:r>
      <w:r>
        <w:rPr>
          <w:rFonts w:hint="eastAsia" w:ascii="Times New Roman" w:hAnsi="Times New Roman"/>
          <w:sz w:val="24"/>
          <w:szCs w:val="24"/>
        </w:rPr>
        <w:t>、</w:t>
      </w:r>
      <w:r>
        <w:rPr>
          <w:rFonts w:ascii="Times New Roman" w:hAnsi="Times New Roman"/>
          <w:sz w:val="24"/>
          <w:szCs w:val="24"/>
        </w:rPr>
        <w:t>运输及全过程中的安全、保险、措施等费用以及如发生安全事故导致的损失和赔偿费用，提供</w:t>
      </w:r>
      <w:r>
        <w:rPr>
          <w:rFonts w:hint="eastAsia" w:ascii="Times New Roman" w:hAnsi="Times New Roman"/>
          <w:sz w:val="24"/>
          <w:szCs w:val="24"/>
        </w:rPr>
        <w:t>13%的</w:t>
      </w:r>
      <w:r>
        <w:rPr>
          <w:rFonts w:ascii="Times New Roman" w:hAnsi="Times New Roman"/>
          <w:sz w:val="24"/>
          <w:szCs w:val="24"/>
        </w:rPr>
        <w:t>增值税专用发票（税金由中标人承担，包含在</w:t>
      </w:r>
      <w:r>
        <w:rPr>
          <w:rFonts w:hint="eastAsia" w:ascii="Times New Roman" w:hAnsi="Times New Roman"/>
          <w:sz w:val="24"/>
          <w:szCs w:val="24"/>
        </w:rPr>
        <w:t>投标</w:t>
      </w:r>
      <w:r>
        <w:rPr>
          <w:rFonts w:ascii="Times New Roman" w:hAnsi="Times New Roman"/>
          <w:sz w:val="24"/>
          <w:szCs w:val="24"/>
        </w:rPr>
        <w:t>价格中），中标人不得以任何理由额外索取</w:t>
      </w:r>
      <w:r>
        <w:rPr>
          <w:rFonts w:hint="eastAsia" w:ascii="Times New Roman" w:hAnsi="Times New Roman"/>
          <w:sz w:val="24"/>
          <w:szCs w:val="24"/>
        </w:rPr>
        <w:t>任何</w:t>
      </w:r>
      <w:r>
        <w:rPr>
          <w:rFonts w:ascii="Times New Roman" w:hAnsi="Times New Roman"/>
          <w:sz w:val="24"/>
          <w:szCs w:val="24"/>
        </w:rPr>
        <w:t>费用。</w:t>
      </w:r>
      <w:r>
        <w:rPr>
          <w:rFonts w:ascii="Times New Roman" w:hAnsi="Times New Roman"/>
          <w:bCs/>
          <w:sz w:val="24"/>
          <w:szCs w:val="24"/>
        </w:rPr>
        <w:t>投标单价为固定</w:t>
      </w:r>
      <w:r>
        <w:rPr>
          <w:rFonts w:hint="eastAsia" w:ascii="Times New Roman" w:hAnsi="Times New Roman"/>
          <w:bCs/>
          <w:sz w:val="24"/>
          <w:szCs w:val="24"/>
        </w:rPr>
        <w:t>综合</w:t>
      </w:r>
      <w:r>
        <w:rPr>
          <w:rFonts w:ascii="Times New Roman" w:hAnsi="Times New Roman"/>
          <w:bCs/>
          <w:sz w:val="24"/>
          <w:szCs w:val="24"/>
        </w:rPr>
        <w:t>单价，供应期及供应量内单价不随市场价格变动而调整。</w:t>
      </w:r>
    </w:p>
    <w:p w14:paraId="7AC5F7DD">
      <w:pPr>
        <w:spacing w:line="360" w:lineRule="auto"/>
        <w:ind w:firstLine="480" w:firstLineChars="200"/>
        <w:rPr>
          <w:rFonts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w:t>
      </w:r>
      <w:r>
        <w:rPr>
          <w:rFonts w:hint="eastAsia" w:ascii="Times New Roman" w:hAnsi="Times New Roman"/>
          <w:sz w:val="24"/>
          <w:szCs w:val="24"/>
        </w:rPr>
        <w:t>本次招标的</w:t>
      </w:r>
      <w:r>
        <w:rPr>
          <w:rFonts w:hint="eastAsia" w:ascii="宋体" w:hAnsi="宋体"/>
          <w:sz w:val="24"/>
          <w:szCs w:val="24"/>
        </w:rPr>
        <w:t>桥式起重机及配件</w:t>
      </w:r>
      <w:r>
        <w:rPr>
          <w:rFonts w:hint="eastAsia" w:ascii="Times New Roman" w:hAnsi="Times New Roman"/>
          <w:sz w:val="24"/>
          <w:szCs w:val="24"/>
        </w:rPr>
        <w:t>数量为供货期内施工图纸中采购数量，实际供货时配件数量有可能会有少许调整，以中标人根据项目实际需求通知的数量为准，最终结算数量以甲方在工地收货现场收到的</w:t>
      </w:r>
      <w:r>
        <w:rPr>
          <w:rFonts w:hint="eastAsia" w:ascii="宋体" w:hAnsi="宋体"/>
          <w:sz w:val="24"/>
          <w:szCs w:val="24"/>
        </w:rPr>
        <w:t>桥式起重机及配件</w:t>
      </w:r>
      <w:r>
        <w:rPr>
          <w:rFonts w:hint="eastAsia" w:ascii="Times New Roman" w:hAnsi="Times New Roman"/>
          <w:sz w:val="24"/>
          <w:szCs w:val="24"/>
        </w:rPr>
        <w:t>数量为准。</w:t>
      </w:r>
      <w:r>
        <w:rPr>
          <w:rFonts w:hint="eastAsia" w:ascii="Times New Roman" w:hAnsi="Times New Roman"/>
          <w:color w:val="000000" w:themeColor="text1"/>
          <w:sz w:val="24"/>
          <w:szCs w:val="24"/>
        </w:rPr>
        <w:t>投标人若需去施工现场查看，可自行前往，费用自理。</w:t>
      </w:r>
    </w:p>
    <w:p w14:paraId="3A004E42">
      <w:pPr>
        <w:spacing w:line="360" w:lineRule="auto"/>
        <w:ind w:firstLine="480" w:firstLineChars="200"/>
        <w:rPr>
          <w:rFonts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、供应过程中严格要求</w:t>
      </w:r>
      <w:r>
        <w:rPr>
          <w:rFonts w:hint="eastAsia" w:ascii="Times New Roman" w:hAnsi="Times New Roman"/>
          <w:sz w:val="24"/>
          <w:szCs w:val="24"/>
        </w:rPr>
        <w:t>设备</w:t>
      </w:r>
      <w:r>
        <w:rPr>
          <w:rFonts w:ascii="Times New Roman" w:hAnsi="Times New Roman"/>
          <w:sz w:val="24"/>
          <w:szCs w:val="24"/>
        </w:rPr>
        <w:t>质量，如若供应过程中</w:t>
      </w:r>
      <w:r>
        <w:rPr>
          <w:rFonts w:hint="eastAsia" w:ascii="Times New Roman" w:hAnsi="Times New Roman"/>
          <w:sz w:val="24"/>
          <w:szCs w:val="24"/>
        </w:rPr>
        <w:t>招标人</w:t>
      </w:r>
      <w:r>
        <w:rPr>
          <w:rFonts w:ascii="Times New Roman" w:hAnsi="Times New Roman"/>
          <w:sz w:val="24"/>
          <w:szCs w:val="24"/>
        </w:rPr>
        <w:t>项目部</w:t>
      </w:r>
      <w:r>
        <w:rPr>
          <w:rFonts w:hint="eastAsia" w:ascii="Times New Roman" w:hAnsi="Times New Roman"/>
          <w:sz w:val="24"/>
          <w:szCs w:val="24"/>
        </w:rPr>
        <w:t>发现</w:t>
      </w:r>
      <w:r>
        <w:rPr>
          <w:rFonts w:ascii="Times New Roman" w:hAnsi="Times New Roman"/>
          <w:sz w:val="24"/>
          <w:szCs w:val="24"/>
        </w:rPr>
        <w:t>供应商以次充好</w:t>
      </w:r>
      <w:r>
        <w:rPr>
          <w:rFonts w:hint="eastAsia" w:ascii="Times New Roman" w:hAnsi="Times New Roman"/>
          <w:spacing w:val="-6"/>
          <w:sz w:val="24"/>
          <w:szCs w:val="24"/>
        </w:rPr>
        <w:t>或弄虚作假</w:t>
      </w:r>
      <w:r>
        <w:rPr>
          <w:rFonts w:ascii="Times New Roman" w:hAnsi="Times New Roman"/>
          <w:sz w:val="24"/>
          <w:szCs w:val="24"/>
        </w:rPr>
        <w:t>的，</w:t>
      </w:r>
      <w:r>
        <w:rPr>
          <w:rFonts w:hint="eastAsia" w:ascii="Times New Roman" w:hAnsi="Times New Roman"/>
          <w:sz w:val="24"/>
          <w:szCs w:val="24"/>
        </w:rPr>
        <w:t>招标人</w:t>
      </w:r>
      <w:r>
        <w:rPr>
          <w:rFonts w:ascii="Times New Roman" w:hAnsi="Times New Roman"/>
          <w:sz w:val="24"/>
          <w:szCs w:val="24"/>
        </w:rPr>
        <w:t>将</w:t>
      </w:r>
      <w:r>
        <w:rPr>
          <w:rFonts w:hint="eastAsia" w:ascii="Times New Roman" w:hAnsi="Times New Roman"/>
          <w:sz w:val="24"/>
          <w:szCs w:val="24"/>
        </w:rPr>
        <w:t>全额</w:t>
      </w:r>
      <w:r>
        <w:rPr>
          <w:rFonts w:ascii="Times New Roman" w:hAnsi="Times New Roman"/>
          <w:sz w:val="24"/>
          <w:szCs w:val="24"/>
        </w:rPr>
        <w:t>没收其履约保证金</w:t>
      </w:r>
      <w:r>
        <w:rPr>
          <w:rFonts w:hint="eastAsia" w:ascii="Times New Roman" w:hAnsi="Times New Roman"/>
          <w:sz w:val="24"/>
          <w:szCs w:val="24"/>
        </w:rPr>
        <w:t>，另外向招标人支付叁拾伍万元的诚信违约金</w:t>
      </w:r>
      <w:r>
        <w:rPr>
          <w:rFonts w:ascii="Times New Roman" w:hAnsi="Times New Roman"/>
          <w:sz w:val="24"/>
          <w:szCs w:val="24"/>
        </w:rPr>
        <w:t>。造成</w:t>
      </w:r>
      <w:r>
        <w:rPr>
          <w:rFonts w:hint="eastAsia" w:ascii="Times New Roman" w:hAnsi="Times New Roman"/>
          <w:sz w:val="24"/>
          <w:szCs w:val="24"/>
        </w:rPr>
        <w:t>招标人</w:t>
      </w:r>
      <w:r>
        <w:rPr>
          <w:rFonts w:ascii="Times New Roman" w:hAnsi="Times New Roman"/>
          <w:sz w:val="24"/>
          <w:szCs w:val="24"/>
        </w:rPr>
        <w:t>相关损失的（包括但不限于工程产品报废、返工返修、工期延误</w:t>
      </w:r>
      <w:r>
        <w:rPr>
          <w:rFonts w:hint="eastAsia" w:ascii="Times New Roman" w:hAnsi="Times New Roman"/>
          <w:sz w:val="24"/>
          <w:szCs w:val="24"/>
        </w:rPr>
        <w:t>、鉴定费、律师费、诉讼费、差旅费</w:t>
      </w:r>
      <w:r>
        <w:rPr>
          <w:rFonts w:ascii="Times New Roman" w:hAnsi="Times New Roman"/>
          <w:sz w:val="24"/>
          <w:szCs w:val="24"/>
        </w:rPr>
        <w:t>等费用和损失），负责赔偿相关损失，并承担相关责任。</w:t>
      </w:r>
    </w:p>
    <w:p w14:paraId="638C398E">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 5、由中标人提供的桥式起重机、起重机轨道及其附件、车挡、起重机滑触线及其配套件，中标人应按施工详图规定的规格、型号提供详细图纸并经发包人、监理及</w:t>
      </w:r>
      <w:r>
        <w:rPr>
          <w:rFonts w:hint="eastAsia" w:ascii="Times New Roman" w:hAnsi="Times New Roman"/>
          <w:sz w:val="24"/>
          <w:szCs w:val="24"/>
          <w:lang w:val="en-US" w:eastAsia="zh-CN"/>
        </w:rPr>
        <w:t>设计</w:t>
      </w:r>
      <w:r>
        <w:rPr>
          <w:rFonts w:hint="eastAsia" w:ascii="Times New Roman" w:hAnsi="Times New Roman"/>
          <w:sz w:val="24"/>
          <w:szCs w:val="24"/>
        </w:rPr>
        <w:t xml:space="preserve">单位确认后生产。 </w:t>
      </w:r>
    </w:p>
    <w:p w14:paraId="26211B33">
      <w:pPr>
        <w:spacing w:line="360" w:lineRule="auto"/>
        <w:ind w:firstLine="480" w:firstLineChars="200"/>
        <w:rPr>
          <w:rFonts w:ascii="Times New Roman" w:hAnsi="Times New Roman"/>
          <w:sz w:val="24"/>
          <w:szCs w:val="24"/>
        </w:rPr>
      </w:pPr>
      <w:r>
        <w:rPr>
          <w:rFonts w:hint="eastAsia" w:ascii="Times New Roman" w:hAnsi="Times New Roman"/>
          <w:sz w:val="24"/>
          <w:szCs w:val="24"/>
        </w:rPr>
        <w:t>桥式起重机生产厂家必须具有国家颁发的该产品型号的生产许可证等相关证书，并交 监理人审核。选定的厂家必须事先报经发包人批准，其质量由中标人负责。</w:t>
      </w:r>
    </w:p>
    <w:p w14:paraId="417D64FA">
      <w:pPr>
        <w:spacing w:line="360" w:lineRule="auto"/>
        <w:ind w:firstLine="480" w:firstLineChars="200"/>
        <w:rPr>
          <w:rFonts w:ascii="Times New Roman" w:hAnsi="Times New Roman"/>
          <w:sz w:val="24"/>
          <w:szCs w:val="24"/>
        </w:rPr>
      </w:pPr>
      <w:r>
        <w:rPr>
          <w:rFonts w:hint="eastAsia" w:ascii="Times New Roman" w:hAnsi="Times New Roman"/>
          <w:sz w:val="24"/>
          <w:szCs w:val="24"/>
        </w:rPr>
        <w:t>中标人应全面负责上述设备和材料的订货、接货、验收、运输和保管等全部工作， 并根据工程施工进度的要求，及时提供符合质量标准的设备和材料。上述设备和材料验收 时，应有监理人参加。</w:t>
      </w:r>
    </w:p>
    <w:p w14:paraId="06F2C3D6">
      <w:pPr>
        <w:spacing w:line="360" w:lineRule="auto"/>
        <w:ind w:firstLine="480" w:firstLineChars="200"/>
        <w:rPr>
          <w:rFonts w:ascii="Times New Roman" w:hAnsi="Times New Roman"/>
          <w:sz w:val="24"/>
          <w:szCs w:val="24"/>
        </w:rPr>
      </w:pPr>
      <w:r>
        <w:rPr>
          <w:rFonts w:hint="eastAsia" w:ascii="Times New Roman" w:hAnsi="Times New Roman"/>
          <w:sz w:val="24"/>
          <w:szCs w:val="24"/>
        </w:rPr>
        <w:t>按本合同约定，中标人负责的安装工作，应包括安装用的零部件加工制作；安装， 以及安装后的调试、试验和试运转、质量检查和验收等全部工作。 中标人还应负责提供上述安装工作所需的人工、材料、设备、检测器具以及为安装使 用的辅助设备和临时设施等。</w:t>
      </w:r>
    </w:p>
    <w:p w14:paraId="6E5EBDC3">
      <w:pPr>
        <w:spacing w:line="360" w:lineRule="auto"/>
        <w:ind w:firstLine="480" w:firstLineChars="200"/>
        <w:rPr>
          <w:rFonts w:ascii="Times New Roman" w:hAnsi="Times New Roman"/>
          <w:sz w:val="24"/>
          <w:szCs w:val="24"/>
        </w:rPr>
      </w:pPr>
      <w:r>
        <w:rPr>
          <w:rFonts w:hint="eastAsia" w:ascii="Times New Roman" w:hAnsi="Times New Roman"/>
          <w:sz w:val="24"/>
          <w:szCs w:val="24"/>
        </w:rPr>
        <w:t>中标人负责在桥式起重机安装前及时向工程所在地安全监察机构提交《特种设备安 装改造维修告知书》，安装及调试、试运转过程中接受监检机构的监督检查，并按其要求进行整改直至合格，安装</w:t>
      </w:r>
      <w:r>
        <w:rPr>
          <w:rFonts w:hint="eastAsia" w:ascii="Times New Roman" w:hAnsi="Times New Roman"/>
          <w:color w:val="000000" w:themeColor="text1"/>
          <w:sz w:val="24"/>
          <w:szCs w:val="24"/>
          <w:lang w:val="en-US" w:eastAsia="zh-CN"/>
        </w:rPr>
        <w:t>完成</w:t>
      </w:r>
      <w:r>
        <w:rPr>
          <w:rFonts w:hint="eastAsia" w:ascii="Times New Roman" w:hAnsi="Times New Roman"/>
          <w:color w:val="000000" w:themeColor="text1"/>
          <w:sz w:val="24"/>
          <w:szCs w:val="24"/>
        </w:rPr>
        <w:t>后</w:t>
      </w:r>
      <w:r>
        <w:rPr>
          <w:rFonts w:hint="eastAsia" w:ascii="Times New Roman" w:hAnsi="Times New Roman"/>
          <w:color w:val="000000" w:themeColor="text1"/>
          <w:sz w:val="24"/>
          <w:szCs w:val="24"/>
          <w:lang w:val="en-US" w:eastAsia="zh-CN"/>
        </w:rPr>
        <w:t>10个工作日内</w:t>
      </w:r>
      <w:r>
        <w:rPr>
          <w:rFonts w:hint="eastAsia" w:ascii="Times New Roman" w:hAnsi="Times New Roman"/>
          <w:sz w:val="24"/>
          <w:szCs w:val="24"/>
        </w:rPr>
        <w:t>取得：</w:t>
      </w:r>
    </w:p>
    <w:p w14:paraId="0AEC8006">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（1）安全检验合格证书 </w:t>
      </w:r>
    </w:p>
    <w:p w14:paraId="474B398C">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（2）特种设备安装安全质量监督检验证书 </w:t>
      </w:r>
    </w:p>
    <w:p w14:paraId="48EA6801">
      <w:pPr>
        <w:spacing w:line="360" w:lineRule="auto"/>
        <w:ind w:firstLine="480" w:firstLineChars="200"/>
        <w:rPr>
          <w:rFonts w:ascii="Times New Roman" w:hAnsi="Times New Roman"/>
          <w:sz w:val="24"/>
          <w:szCs w:val="24"/>
        </w:rPr>
      </w:pPr>
      <w:r>
        <w:rPr>
          <w:rFonts w:hint="eastAsia" w:ascii="Times New Roman" w:hAnsi="Times New Roman"/>
          <w:sz w:val="24"/>
          <w:szCs w:val="24"/>
        </w:rPr>
        <w:t>（3）桥式起重机验收检验报告</w:t>
      </w:r>
    </w:p>
    <w:p w14:paraId="7AC0EBDC">
      <w:pPr>
        <w:spacing w:line="360" w:lineRule="auto"/>
        <w:ind w:firstLine="480" w:firstLineChars="200"/>
        <w:rPr>
          <w:rFonts w:ascii="Times New Roman" w:hAnsi="Times New Roman"/>
          <w:sz w:val="24"/>
          <w:szCs w:val="24"/>
        </w:rPr>
      </w:pPr>
      <w:r>
        <w:rPr>
          <w:rFonts w:hint="eastAsia" w:ascii="Times New Roman" w:hAnsi="Times New Roman"/>
          <w:sz w:val="24"/>
          <w:szCs w:val="24"/>
        </w:rPr>
        <w:t>中标人应按本合同约定，负责在机电设备施工安装期的运转维护、保养和缺陷修复 工作及缺陷责任期内的缺陷修复工作。</w:t>
      </w:r>
    </w:p>
    <w:p w14:paraId="46304048">
      <w:pPr>
        <w:spacing w:line="360" w:lineRule="auto"/>
        <w:ind w:firstLine="480" w:firstLineChars="200"/>
        <w:rPr>
          <w:rFonts w:asciiTheme="minorEastAsia" w:hAnsiTheme="minorEastAsia" w:eastAsiaTheme="minorEastAsia"/>
          <w:sz w:val="24"/>
          <w:szCs w:val="24"/>
        </w:rPr>
      </w:pPr>
      <w:r>
        <w:rPr>
          <w:rFonts w:hint="eastAsia" w:ascii="Times New Roman" w:hAnsi="Times New Roman"/>
          <w:sz w:val="24"/>
          <w:szCs w:val="24"/>
        </w:rPr>
        <w:t>6</w:t>
      </w:r>
      <w:r>
        <w:rPr>
          <w:rFonts w:ascii="Times New Roman" w:hAnsi="Times New Roman"/>
          <w:sz w:val="24"/>
          <w:szCs w:val="24"/>
        </w:rPr>
        <w:t>、供货时间：</w:t>
      </w:r>
      <w:r>
        <w:rPr>
          <w:rFonts w:ascii="Times New Roman" w:hAnsi="Times New Roman" w:eastAsiaTheme="minorEastAsia"/>
          <w:b/>
          <w:color w:val="FF0000"/>
          <w:sz w:val="24"/>
          <w:szCs w:val="24"/>
          <w:u w:val="single"/>
        </w:rPr>
        <w:t>2025年</w:t>
      </w:r>
      <w:r>
        <w:rPr>
          <w:rFonts w:hint="eastAsia" w:ascii="Times New Roman" w:hAnsi="Times New Roman" w:eastAsiaTheme="minorEastAsia"/>
          <w:b/>
          <w:color w:val="FF0000"/>
          <w:sz w:val="24"/>
          <w:szCs w:val="24"/>
          <w:u w:val="single"/>
        </w:rPr>
        <w:t>12</w:t>
      </w:r>
      <w:r>
        <w:rPr>
          <w:rFonts w:ascii="Times New Roman" w:hAnsi="Times New Roman" w:eastAsiaTheme="minorEastAsia"/>
          <w:b/>
          <w:color w:val="FF0000"/>
          <w:sz w:val="24"/>
          <w:szCs w:val="24"/>
          <w:u w:val="single"/>
        </w:rPr>
        <w:t>月</w:t>
      </w:r>
      <w:r>
        <w:rPr>
          <w:rFonts w:hint="eastAsia" w:ascii="Times New Roman" w:hAnsi="Times New Roman" w:eastAsiaTheme="minorEastAsia"/>
          <w:b/>
          <w:color w:val="FF0000"/>
          <w:sz w:val="24"/>
          <w:szCs w:val="24"/>
          <w:u w:val="single"/>
        </w:rPr>
        <w:t>30</w:t>
      </w:r>
      <w:r>
        <w:rPr>
          <w:rFonts w:ascii="Times New Roman" w:hAnsi="Times New Roman" w:eastAsiaTheme="minorEastAsia"/>
          <w:b/>
          <w:color w:val="FF0000"/>
          <w:sz w:val="24"/>
          <w:szCs w:val="24"/>
          <w:u w:val="single"/>
        </w:rPr>
        <w:t>日</w:t>
      </w:r>
      <w:r>
        <w:rPr>
          <w:rFonts w:hint="eastAsia" w:ascii="Times New Roman" w:hAnsi="Times New Roman" w:eastAsiaTheme="minorEastAsia"/>
          <w:b/>
          <w:color w:val="FF0000"/>
          <w:sz w:val="24"/>
          <w:szCs w:val="24"/>
          <w:u w:val="single"/>
          <w:lang w:val="en-US" w:eastAsia="zh-CN"/>
        </w:rPr>
        <w:t>前供货结束</w:t>
      </w:r>
      <w:r>
        <w:rPr>
          <w:rFonts w:ascii="Times New Roman" w:hAnsi="Times New Roman" w:eastAsiaTheme="minorEastAsia"/>
          <w:color w:val="000000" w:themeColor="text1"/>
          <w:sz w:val="24"/>
          <w:szCs w:val="24"/>
        </w:rPr>
        <w:t>，</w:t>
      </w:r>
      <w:r>
        <w:rPr>
          <w:rFonts w:ascii="Times New Roman" w:hAnsi="Times New Roman" w:eastAsiaTheme="minorEastAsia"/>
          <w:sz w:val="24"/>
          <w:szCs w:val="24"/>
        </w:rPr>
        <w:t>具体供货开始和结束期限以项目实际需求为准。</w:t>
      </w:r>
    </w:p>
    <w:p w14:paraId="15AC4F94">
      <w:pPr>
        <w:spacing w:line="360" w:lineRule="auto"/>
        <w:ind w:firstLine="480" w:firstLineChars="200"/>
        <w:rPr>
          <w:rFonts w:ascii="Times New Roman" w:hAnsi="Times New Roman"/>
          <w:sz w:val="24"/>
          <w:szCs w:val="24"/>
        </w:rPr>
      </w:pPr>
      <w:r>
        <w:rPr>
          <w:rFonts w:hint="eastAsia" w:ascii="Times New Roman" w:hAnsi="Times New Roman"/>
          <w:sz w:val="24"/>
          <w:szCs w:val="24"/>
        </w:rPr>
        <w:t>7</w:t>
      </w:r>
      <w:r>
        <w:rPr>
          <w:rFonts w:ascii="Times New Roman" w:hAnsi="Times New Roman"/>
          <w:sz w:val="24"/>
          <w:szCs w:val="24"/>
        </w:rPr>
        <w:t>、送货地点：</w:t>
      </w:r>
      <w:r>
        <w:rPr>
          <w:rFonts w:hint="eastAsia" w:ascii="Times New Roman" w:hAnsi="Times New Roman"/>
          <w:bCs/>
          <w:sz w:val="24"/>
          <w:szCs w:val="24"/>
          <w:u w:val="single"/>
        </w:rPr>
        <w:t>秦淮新河改扩建工程施工现场（具体地址由投标人与工程项目部联系确认）。</w:t>
      </w:r>
      <w:r>
        <w:rPr>
          <w:rFonts w:ascii="Times New Roman" w:hAnsi="Times New Roman"/>
          <w:sz w:val="24"/>
          <w:szCs w:val="24"/>
        </w:rPr>
        <w:t>送货时同时提供</w:t>
      </w:r>
      <w:r>
        <w:rPr>
          <w:rFonts w:hint="eastAsia" w:ascii="Times New Roman" w:hAnsi="Times New Roman"/>
          <w:sz w:val="24"/>
          <w:szCs w:val="24"/>
        </w:rPr>
        <w:t>产品</w:t>
      </w:r>
      <w:r>
        <w:rPr>
          <w:rFonts w:ascii="Times New Roman" w:hAnsi="Times New Roman"/>
          <w:sz w:val="24"/>
          <w:szCs w:val="24"/>
        </w:rPr>
        <w:t>合格证明</w:t>
      </w:r>
      <w:r>
        <w:rPr>
          <w:rFonts w:hint="eastAsia" w:ascii="Times New Roman" w:hAnsi="Times New Roman"/>
          <w:color w:val="000000" w:themeColor="text1"/>
          <w:sz w:val="24"/>
          <w:szCs w:val="24"/>
        </w:rPr>
        <w:t>材料</w:t>
      </w:r>
      <w:r>
        <w:rPr>
          <w:rFonts w:ascii="Times New Roman" w:hAnsi="Times New Roman"/>
          <w:sz w:val="24"/>
          <w:szCs w:val="24"/>
        </w:rPr>
        <w:t>等。</w:t>
      </w:r>
    </w:p>
    <w:p w14:paraId="48239F04">
      <w:pPr>
        <w:pStyle w:val="26"/>
        <w:spacing w:line="360" w:lineRule="auto"/>
        <w:ind w:left="40" w:firstLineChars="0"/>
        <w:rPr>
          <w:b/>
          <w:bCs/>
          <w:sz w:val="24"/>
        </w:rPr>
      </w:pPr>
      <w:r>
        <w:rPr>
          <w:b/>
          <w:bCs/>
          <w:sz w:val="24"/>
        </w:rPr>
        <w:t>六、</w:t>
      </w:r>
      <w:r>
        <w:rPr>
          <w:rFonts w:hint="eastAsia"/>
          <w:b/>
          <w:bCs/>
          <w:sz w:val="24"/>
        </w:rPr>
        <w:t>技术条款</w:t>
      </w:r>
    </w:p>
    <w:p w14:paraId="413CBDBE">
      <w:pPr>
        <w:pStyle w:val="26"/>
        <w:spacing w:line="360" w:lineRule="auto"/>
        <w:ind w:left="40" w:firstLineChars="0"/>
        <w:rPr>
          <w:b/>
          <w:bCs/>
          <w:sz w:val="24"/>
        </w:rPr>
      </w:pPr>
      <w:r>
        <w:rPr>
          <w:rFonts w:hint="eastAsia"/>
          <w:b/>
          <w:bCs/>
          <w:sz w:val="24"/>
        </w:rPr>
        <w:t>6.1主要提交文件</w:t>
      </w:r>
    </w:p>
    <w:p w14:paraId="48274747">
      <w:pPr>
        <w:pStyle w:val="26"/>
        <w:spacing w:line="360" w:lineRule="auto"/>
        <w:ind w:left="40" w:firstLineChars="0"/>
        <w:rPr>
          <w:sz w:val="24"/>
        </w:rPr>
      </w:pPr>
      <w:r>
        <w:rPr>
          <w:rFonts w:hint="eastAsia"/>
          <w:sz w:val="24"/>
        </w:rPr>
        <w:t xml:space="preserve">1. 设计图纸及相关文件 </w:t>
      </w:r>
    </w:p>
    <w:p w14:paraId="25884D85">
      <w:pPr>
        <w:spacing w:line="360" w:lineRule="auto"/>
        <w:ind w:firstLine="480" w:firstLineChars="200"/>
        <w:rPr>
          <w:rFonts w:ascii="Times New Roman" w:hAnsi="Times New Roman"/>
          <w:sz w:val="24"/>
          <w:szCs w:val="24"/>
        </w:rPr>
      </w:pPr>
      <w:r>
        <w:rPr>
          <w:rFonts w:hint="eastAsia" w:ascii="Times New Roman" w:hAnsi="Times New Roman"/>
          <w:sz w:val="24"/>
          <w:szCs w:val="24"/>
        </w:rPr>
        <w:t>（1）中标人应在接到发包人关于提供起重机图纸通知后 15 天内，提交 2 套下列图纸 和文件供监理人审批：</w:t>
      </w:r>
    </w:p>
    <w:p w14:paraId="6542E247">
      <w:pPr>
        <w:spacing w:line="360" w:lineRule="auto"/>
        <w:ind w:firstLine="480" w:firstLineChars="200"/>
        <w:rPr>
          <w:rFonts w:ascii="Times New Roman" w:hAnsi="Times New Roman"/>
          <w:sz w:val="24"/>
          <w:szCs w:val="24"/>
        </w:rPr>
      </w:pPr>
      <w:r>
        <w:rPr>
          <w:rFonts w:hint="eastAsia" w:ascii="Times New Roman" w:hAnsi="Times New Roman"/>
          <w:sz w:val="24"/>
          <w:szCs w:val="24"/>
        </w:rPr>
        <w:t>1）起重机总装图（包括外形尺寸、材料、零部件明细表和总重）；</w:t>
      </w:r>
    </w:p>
    <w:p w14:paraId="5A0EC8F9">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2）起重机设计、制造、检验和验收的技术标准。 </w:t>
      </w:r>
    </w:p>
    <w:p w14:paraId="7741D31B">
      <w:pPr>
        <w:spacing w:line="360" w:lineRule="auto"/>
        <w:ind w:firstLine="480" w:firstLineChars="200"/>
        <w:rPr>
          <w:rFonts w:ascii="Times New Roman" w:hAnsi="Times New Roman"/>
          <w:sz w:val="24"/>
          <w:szCs w:val="24"/>
        </w:rPr>
      </w:pPr>
      <w:r>
        <w:rPr>
          <w:rFonts w:hint="eastAsia" w:ascii="Times New Roman" w:hAnsi="Times New Roman"/>
          <w:sz w:val="24"/>
          <w:szCs w:val="24"/>
        </w:rPr>
        <w:t>（2）中标人在接到发包人关于提供起重机图纸通知后10天内，应提交：</w:t>
      </w:r>
    </w:p>
    <w:p w14:paraId="3D582B84">
      <w:pPr>
        <w:spacing w:line="360" w:lineRule="auto"/>
        <w:ind w:firstLine="480" w:firstLineChars="200"/>
        <w:rPr>
          <w:rFonts w:ascii="Times New Roman" w:hAnsi="Times New Roman"/>
          <w:sz w:val="24"/>
          <w:szCs w:val="24"/>
        </w:rPr>
      </w:pPr>
      <w:r>
        <w:rPr>
          <w:rFonts w:hint="eastAsia" w:ascii="Times New Roman" w:hAnsi="Times New Roman"/>
          <w:sz w:val="24"/>
          <w:szCs w:val="24"/>
        </w:rPr>
        <w:t>1）起重机电气原理图、接线图；</w:t>
      </w:r>
    </w:p>
    <w:p w14:paraId="612F54BC">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2）起重机安装吊运示意图（包括重量和外形尺寸）； </w:t>
      </w:r>
    </w:p>
    <w:p w14:paraId="24794B58">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3）起重机安装、调试、试运行、使用和维护说明书； </w:t>
      </w:r>
    </w:p>
    <w:p w14:paraId="112A03E3">
      <w:pPr>
        <w:spacing w:line="360" w:lineRule="auto"/>
        <w:ind w:firstLine="480" w:firstLineChars="200"/>
        <w:rPr>
          <w:rFonts w:ascii="Times New Roman" w:hAnsi="Times New Roman"/>
          <w:sz w:val="24"/>
          <w:szCs w:val="24"/>
        </w:rPr>
      </w:pPr>
      <w:r>
        <w:rPr>
          <w:rFonts w:hint="eastAsia" w:ascii="Times New Roman" w:hAnsi="Times New Roman"/>
          <w:sz w:val="24"/>
          <w:szCs w:val="24"/>
        </w:rPr>
        <w:t>4）发包人认为需提交的其它计划和资料。</w:t>
      </w:r>
    </w:p>
    <w:p w14:paraId="74173D0F">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 （3）随机应提交</w:t>
      </w:r>
    </w:p>
    <w:p w14:paraId="454036FD">
      <w:pPr>
        <w:spacing w:line="360" w:lineRule="auto"/>
        <w:ind w:firstLine="480" w:firstLineChars="200"/>
        <w:rPr>
          <w:rFonts w:ascii="Times New Roman" w:hAnsi="Times New Roman"/>
          <w:sz w:val="24"/>
          <w:szCs w:val="24"/>
        </w:rPr>
      </w:pPr>
      <w:r>
        <w:rPr>
          <w:rFonts w:hint="eastAsia" w:ascii="Times New Roman" w:hAnsi="Times New Roman"/>
          <w:sz w:val="24"/>
          <w:szCs w:val="24"/>
        </w:rPr>
        <w:t>1）起重机合格证，各主要器件合格证</w:t>
      </w:r>
    </w:p>
    <w:p w14:paraId="0ADFDF4B">
      <w:pPr>
        <w:spacing w:line="360" w:lineRule="auto"/>
        <w:ind w:firstLine="480" w:firstLineChars="200"/>
        <w:rPr>
          <w:rFonts w:ascii="Times New Roman" w:hAnsi="Times New Roman"/>
          <w:sz w:val="24"/>
          <w:szCs w:val="24"/>
        </w:rPr>
      </w:pPr>
      <w:r>
        <w:rPr>
          <w:rFonts w:hint="eastAsia" w:ascii="Times New Roman" w:hAnsi="Times New Roman"/>
          <w:sz w:val="24"/>
          <w:szCs w:val="24"/>
        </w:rPr>
        <w:t>2）监检机构颁发的起重机械制造监督检验证书</w:t>
      </w:r>
    </w:p>
    <w:p w14:paraId="424F0AE6">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3）工厂检验报告（包括对主要部件的无损探伤） </w:t>
      </w:r>
    </w:p>
    <w:p w14:paraId="4659EE2B">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4）装箱单、备品备件清单； </w:t>
      </w:r>
    </w:p>
    <w:p w14:paraId="638E3F3B">
      <w:pPr>
        <w:spacing w:line="360" w:lineRule="auto"/>
        <w:ind w:firstLine="480" w:firstLineChars="200"/>
        <w:rPr>
          <w:rFonts w:ascii="Times New Roman" w:hAnsi="Times New Roman"/>
          <w:sz w:val="24"/>
          <w:szCs w:val="24"/>
        </w:rPr>
      </w:pPr>
      <w:r>
        <w:rPr>
          <w:rFonts w:hint="eastAsia" w:ascii="Times New Roman" w:hAnsi="Times New Roman"/>
          <w:sz w:val="24"/>
          <w:szCs w:val="24"/>
        </w:rPr>
        <w:t>5）合同文件规定的 3套随机安装图纸、易损件图、其他有关的技术文件</w:t>
      </w:r>
    </w:p>
    <w:p w14:paraId="2342AB60">
      <w:pPr>
        <w:spacing w:line="360" w:lineRule="auto"/>
        <w:ind w:firstLine="480" w:firstLineChars="200"/>
        <w:rPr>
          <w:rFonts w:ascii="Times New Roman" w:hAnsi="Times New Roman"/>
          <w:sz w:val="24"/>
          <w:szCs w:val="24"/>
        </w:rPr>
      </w:pPr>
      <w:r>
        <w:rPr>
          <w:rFonts w:hint="eastAsia" w:ascii="Times New Roman" w:hAnsi="Times New Roman"/>
          <w:sz w:val="24"/>
          <w:szCs w:val="24"/>
        </w:rPr>
        <w:t>2. 桥式起重机安装施工组织设计，制造、安装进度计划，特种设备安装改造维修告知书，安装方案（包括试运转大纲）及监检机构要求的其它相关资料。</w:t>
      </w:r>
    </w:p>
    <w:p w14:paraId="30847D9B">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3. 中标人应按本合同约定发包人和监理人指示，定期向发包人、监理人提交制造、安装工作进度实施 报告。其报告的内容应说明制造、安装工程计划的完成情况、形象进度、质量控制情况、 安全情况及下阶段安装计划安排，以及要求发包人和监理人协调解决的问题。 </w:t>
      </w:r>
    </w:p>
    <w:p w14:paraId="2C0B7083">
      <w:pPr>
        <w:pStyle w:val="26"/>
        <w:spacing w:line="360" w:lineRule="auto"/>
        <w:ind w:left="40" w:firstLineChars="0"/>
        <w:rPr>
          <w:b/>
          <w:bCs/>
          <w:sz w:val="24"/>
        </w:rPr>
      </w:pPr>
      <w:r>
        <w:rPr>
          <w:rFonts w:hint="eastAsia"/>
          <w:b/>
          <w:bCs/>
          <w:sz w:val="24"/>
        </w:rPr>
        <w:t>6.2、引用标准名称</w:t>
      </w:r>
    </w:p>
    <w:p w14:paraId="3BB46094">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以下标准是制造、安装及验收必须依据的标准，但不限于此。所有标准是制造、安装 合同执行期间的最新版本。 </w:t>
      </w:r>
    </w:p>
    <w:p w14:paraId="35960C21">
      <w:pPr>
        <w:spacing w:line="360" w:lineRule="auto"/>
        <w:ind w:firstLine="480" w:firstLineChars="200"/>
        <w:rPr>
          <w:rFonts w:ascii="Times New Roman" w:hAnsi="Times New Roman"/>
          <w:sz w:val="24"/>
          <w:szCs w:val="24"/>
        </w:rPr>
      </w:pPr>
      <w:r>
        <w:rPr>
          <w:rFonts w:hint="eastAsia" w:ascii="Times New Roman" w:hAnsi="Times New Roman"/>
          <w:sz w:val="24"/>
          <w:szCs w:val="24"/>
        </w:rPr>
        <w:t>（1）起重机设计规范（GB3811）</w:t>
      </w:r>
    </w:p>
    <w:p w14:paraId="3664D963">
      <w:pPr>
        <w:spacing w:line="360" w:lineRule="auto"/>
        <w:ind w:firstLine="480" w:firstLineChars="200"/>
        <w:rPr>
          <w:rFonts w:ascii="Times New Roman" w:hAnsi="Times New Roman"/>
          <w:sz w:val="24"/>
          <w:szCs w:val="24"/>
        </w:rPr>
      </w:pPr>
      <w:r>
        <w:rPr>
          <w:rFonts w:hint="eastAsia" w:ascii="Times New Roman" w:hAnsi="Times New Roman"/>
          <w:sz w:val="24"/>
          <w:szCs w:val="24"/>
        </w:rPr>
        <w:t>（2）通用桥式起重机（GB/T14405）</w:t>
      </w:r>
    </w:p>
    <w:p w14:paraId="2D70F1F0">
      <w:pPr>
        <w:spacing w:line="360" w:lineRule="auto"/>
        <w:ind w:firstLine="480" w:firstLineChars="200"/>
        <w:rPr>
          <w:rFonts w:ascii="Times New Roman" w:hAnsi="Times New Roman"/>
          <w:sz w:val="24"/>
          <w:szCs w:val="24"/>
        </w:rPr>
      </w:pPr>
      <w:r>
        <w:rPr>
          <w:rFonts w:hint="eastAsia" w:ascii="Times New Roman" w:hAnsi="Times New Roman"/>
          <w:sz w:val="24"/>
          <w:szCs w:val="24"/>
        </w:rPr>
        <w:t>（3）起重机 试验规范和程序（GB5905）</w:t>
      </w:r>
    </w:p>
    <w:p w14:paraId="244EA361">
      <w:pPr>
        <w:spacing w:line="360" w:lineRule="auto"/>
        <w:ind w:firstLine="480" w:firstLineChars="200"/>
        <w:rPr>
          <w:rFonts w:ascii="Times New Roman" w:hAnsi="Times New Roman"/>
          <w:sz w:val="24"/>
          <w:szCs w:val="24"/>
        </w:rPr>
      </w:pPr>
      <w:r>
        <w:rPr>
          <w:rFonts w:hint="eastAsia" w:ascii="Times New Roman" w:hAnsi="Times New Roman"/>
          <w:sz w:val="24"/>
          <w:szCs w:val="24"/>
        </w:rPr>
        <w:t>（4）起重机械安全规程（GB6067）</w:t>
      </w:r>
    </w:p>
    <w:p w14:paraId="0F64868A">
      <w:pPr>
        <w:spacing w:line="360" w:lineRule="auto"/>
        <w:ind w:firstLine="480" w:firstLineChars="200"/>
        <w:rPr>
          <w:rFonts w:ascii="Times New Roman" w:hAnsi="Times New Roman"/>
          <w:sz w:val="24"/>
          <w:szCs w:val="24"/>
        </w:rPr>
      </w:pPr>
      <w:r>
        <w:rPr>
          <w:rFonts w:hint="eastAsia" w:ascii="Times New Roman" w:hAnsi="Times New Roman"/>
          <w:sz w:val="24"/>
          <w:szCs w:val="24"/>
        </w:rPr>
        <w:t>（5）起重机车轮及大车和小车轨道公差（GB10183）</w:t>
      </w:r>
    </w:p>
    <w:p w14:paraId="275DE915">
      <w:pPr>
        <w:spacing w:line="360" w:lineRule="auto"/>
        <w:ind w:firstLine="480" w:firstLineChars="200"/>
        <w:rPr>
          <w:rFonts w:ascii="Times New Roman" w:hAnsi="Times New Roman"/>
          <w:sz w:val="24"/>
          <w:szCs w:val="24"/>
        </w:rPr>
      </w:pPr>
      <w:r>
        <w:rPr>
          <w:rFonts w:hint="eastAsia" w:ascii="Times New Roman" w:hAnsi="Times New Roman"/>
          <w:sz w:val="24"/>
          <w:szCs w:val="24"/>
        </w:rPr>
        <w:t>（6）起重设备安装工程施工及验收规范（GB50278）</w:t>
      </w:r>
    </w:p>
    <w:p w14:paraId="1DA7DFBC">
      <w:pPr>
        <w:spacing w:line="360" w:lineRule="auto"/>
        <w:ind w:firstLine="480" w:firstLineChars="200"/>
        <w:rPr>
          <w:rFonts w:ascii="Times New Roman" w:hAnsi="Times New Roman"/>
          <w:sz w:val="24"/>
          <w:szCs w:val="24"/>
        </w:rPr>
      </w:pPr>
      <w:r>
        <w:rPr>
          <w:rFonts w:hint="eastAsia" w:ascii="Times New Roman" w:hAnsi="Times New Roman"/>
          <w:sz w:val="24"/>
          <w:szCs w:val="24"/>
        </w:rPr>
        <w:t>（7）电气装置安装工程起重机电气装置施工及验收规范（GB50256）</w:t>
      </w:r>
    </w:p>
    <w:p w14:paraId="14E6A984">
      <w:pPr>
        <w:spacing w:line="360" w:lineRule="auto"/>
        <w:ind w:firstLine="480" w:firstLineChars="200"/>
        <w:rPr>
          <w:rFonts w:ascii="Times New Roman" w:hAnsi="Times New Roman"/>
          <w:sz w:val="24"/>
          <w:szCs w:val="24"/>
        </w:rPr>
      </w:pPr>
      <w:r>
        <w:rPr>
          <w:rFonts w:hint="eastAsia" w:ascii="Times New Roman" w:hAnsi="Times New Roman"/>
          <w:sz w:val="24"/>
          <w:szCs w:val="24"/>
        </w:rPr>
        <w:t>（8）机械设备安装工程施工及验收通用规范（GB50231）</w:t>
      </w:r>
    </w:p>
    <w:p w14:paraId="68E8A850">
      <w:pPr>
        <w:spacing w:line="360" w:lineRule="auto"/>
        <w:ind w:firstLine="480" w:firstLineChars="200"/>
        <w:rPr>
          <w:rFonts w:ascii="Times New Roman" w:hAnsi="Times New Roman"/>
          <w:sz w:val="24"/>
          <w:szCs w:val="24"/>
        </w:rPr>
      </w:pPr>
      <w:r>
        <w:rPr>
          <w:rFonts w:hint="eastAsia" w:ascii="Times New Roman" w:hAnsi="Times New Roman"/>
          <w:sz w:val="24"/>
          <w:szCs w:val="24"/>
        </w:rPr>
        <w:t>（9）起重机械监督检验规程</w:t>
      </w:r>
    </w:p>
    <w:p w14:paraId="7A188BA8">
      <w:pPr>
        <w:spacing w:line="360" w:lineRule="auto"/>
        <w:ind w:firstLine="480" w:firstLineChars="200"/>
        <w:rPr>
          <w:rFonts w:ascii="Times New Roman" w:hAnsi="Times New Roman"/>
          <w:sz w:val="24"/>
          <w:szCs w:val="24"/>
        </w:rPr>
      </w:pPr>
      <w:r>
        <w:rPr>
          <w:rFonts w:hint="eastAsia" w:ascii="Times New Roman" w:hAnsi="Times New Roman"/>
          <w:sz w:val="24"/>
          <w:szCs w:val="24"/>
        </w:rPr>
        <w:t>（10）YZ 系列起重及冶金用三相异步电动机技术条件（ JB/T 10104）</w:t>
      </w:r>
    </w:p>
    <w:p w14:paraId="24B74083">
      <w:pPr>
        <w:spacing w:line="360" w:lineRule="auto"/>
        <w:ind w:firstLine="480" w:firstLineChars="200"/>
        <w:rPr>
          <w:rFonts w:ascii="Times New Roman" w:hAnsi="Times New Roman"/>
          <w:sz w:val="24"/>
          <w:szCs w:val="24"/>
        </w:rPr>
      </w:pPr>
      <w:r>
        <w:rPr>
          <w:rFonts w:hint="eastAsia" w:ascii="Times New Roman" w:hAnsi="Times New Roman"/>
          <w:sz w:val="24"/>
          <w:szCs w:val="24"/>
        </w:rPr>
        <w:t>（11）YZR 系列起重及冶金用绕线转子三相异步电动机技术条件（GB/T 30143）</w:t>
      </w:r>
    </w:p>
    <w:p w14:paraId="4420E784">
      <w:pPr>
        <w:spacing w:line="360" w:lineRule="auto"/>
        <w:ind w:firstLine="480" w:firstLineChars="200"/>
        <w:rPr>
          <w:rFonts w:ascii="Times New Roman" w:hAnsi="Times New Roman"/>
          <w:sz w:val="24"/>
          <w:szCs w:val="24"/>
        </w:rPr>
      </w:pPr>
      <w:r>
        <w:rPr>
          <w:rFonts w:hint="eastAsia" w:ascii="Times New Roman" w:hAnsi="Times New Roman"/>
          <w:sz w:val="24"/>
          <w:szCs w:val="24"/>
        </w:rPr>
        <w:t>（12）起重机械电控设备 （JB4315）</w:t>
      </w:r>
    </w:p>
    <w:p w14:paraId="4E6D54CD">
      <w:pPr>
        <w:spacing w:line="360" w:lineRule="auto"/>
        <w:ind w:firstLine="480" w:firstLineChars="200"/>
        <w:rPr>
          <w:rFonts w:ascii="Times New Roman" w:hAnsi="Times New Roman"/>
          <w:sz w:val="24"/>
          <w:szCs w:val="24"/>
        </w:rPr>
      </w:pPr>
      <w:r>
        <w:rPr>
          <w:rFonts w:hint="eastAsia" w:ascii="Times New Roman" w:hAnsi="Times New Roman"/>
          <w:sz w:val="24"/>
          <w:szCs w:val="24"/>
        </w:rPr>
        <w:t>（13）电气装置安装工程电气设备交接试验标准（GB50150）</w:t>
      </w:r>
    </w:p>
    <w:p w14:paraId="1804C0CD">
      <w:pPr>
        <w:spacing w:line="360" w:lineRule="auto"/>
        <w:ind w:firstLine="480" w:firstLineChars="200"/>
        <w:rPr>
          <w:rFonts w:ascii="Times New Roman" w:hAnsi="Times New Roman"/>
          <w:sz w:val="24"/>
          <w:szCs w:val="24"/>
        </w:rPr>
      </w:pPr>
      <w:r>
        <w:rPr>
          <w:rFonts w:hint="eastAsia" w:ascii="Times New Roman" w:hAnsi="Times New Roman"/>
          <w:sz w:val="24"/>
          <w:szCs w:val="24"/>
        </w:rPr>
        <w:t>（14）电气装置安装工程旋转电机施工及验收标准（GB 50170）</w:t>
      </w:r>
    </w:p>
    <w:p w14:paraId="70ABCF7B">
      <w:pPr>
        <w:spacing w:line="360" w:lineRule="auto"/>
        <w:ind w:firstLine="480" w:firstLineChars="200"/>
        <w:rPr>
          <w:rFonts w:ascii="Times New Roman" w:hAnsi="Times New Roman"/>
          <w:sz w:val="24"/>
          <w:szCs w:val="24"/>
        </w:rPr>
      </w:pPr>
      <w:r>
        <w:rPr>
          <w:rFonts w:hint="eastAsia" w:ascii="Times New Roman" w:hAnsi="Times New Roman"/>
          <w:sz w:val="24"/>
          <w:szCs w:val="24"/>
        </w:rPr>
        <w:t>（15）设备制造商提供的技术要求说明。</w:t>
      </w:r>
    </w:p>
    <w:p w14:paraId="77769D56">
      <w:pPr>
        <w:pStyle w:val="26"/>
        <w:spacing w:line="360" w:lineRule="auto"/>
        <w:ind w:left="40" w:firstLineChars="0"/>
        <w:rPr>
          <w:b/>
          <w:bCs/>
          <w:sz w:val="24"/>
        </w:rPr>
      </w:pPr>
      <w:r>
        <w:rPr>
          <w:rFonts w:hint="eastAsia"/>
          <w:b/>
          <w:bCs/>
          <w:sz w:val="24"/>
        </w:rPr>
        <w:t>6.3、性能参数及结构要求</w:t>
      </w:r>
    </w:p>
    <w:p w14:paraId="7F34ADBD">
      <w:pPr>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1. 电动双梁桥式起重机 （以最终设计为准）</w:t>
      </w:r>
    </w:p>
    <w:p w14:paraId="763C8B6C">
      <w:pPr>
        <w:spacing w:line="360" w:lineRule="auto"/>
        <w:ind w:firstLine="480" w:firstLineChars="200"/>
        <w:rPr>
          <w:rFonts w:ascii="Times New Roman" w:hAnsi="Times New Roman"/>
          <w:sz w:val="24"/>
          <w:szCs w:val="24"/>
        </w:rPr>
      </w:pPr>
      <w:r>
        <w:rPr>
          <w:rFonts w:hint="eastAsia" w:ascii="Times New Roman" w:hAnsi="Times New Roman"/>
          <w:sz w:val="24"/>
          <w:szCs w:val="24"/>
        </w:rPr>
        <w:t>1）起重机型式：电动双梁桥式起重机。</w:t>
      </w:r>
    </w:p>
    <w:p w14:paraId="50C2685C">
      <w:pPr>
        <w:spacing w:line="360" w:lineRule="auto"/>
        <w:ind w:firstLine="480" w:firstLineChars="200"/>
        <w:rPr>
          <w:rFonts w:ascii="Times New Roman" w:hAnsi="Times New Roman"/>
          <w:sz w:val="24"/>
          <w:szCs w:val="24"/>
        </w:rPr>
      </w:pPr>
      <w:r>
        <w:rPr>
          <w:rFonts w:hint="eastAsia" w:ascii="Times New Roman" w:hAnsi="Times New Roman"/>
          <w:sz w:val="24"/>
          <w:szCs w:val="24"/>
        </w:rPr>
        <w:t>2）起重等级：320kN/50kN。</w:t>
      </w:r>
    </w:p>
    <w:p w14:paraId="3EBC525A">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3）起重机工作级别：A3 </w:t>
      </w:r>
    </w:p>
    <w:p w14:paraId="2C136592">
      <w:pPr>
        <w:spacing w:line="360" w:lineRule="auto"/>
        <w:ind w:firstLine="480" w:firstLineChars="200"/>
        <w:rPr>
          <w:rFonts w:ascii="Times New Roman" w:hAnsi="Times New Roman"/>
          <w:sz w:val="24"/>
          <w:szCs w:val="24"/>
        </w:rPr>
      </w:pPr>
      <w:r>
        <w:rPr>
          <w:rFonts w:hint="eastAsia" w:ascii="Times New Roman" w:hAnsi="Times New Roman"/>
          <w:sz w:val="24"/>
          <w:szCs w:val="24"/>
        </w:rPr>
        <w:t>4）使用电源：50HZ、380V 三相交流电。</w:t>
      </w:r>
    </w:p>
    <w:p w14:paraId="0A15E464">
      <w:pPr>
        <w:spacing w:line="360" w:lineRule="auto"/>
        <w:ind w:firstLine="480" w:firstLineChars="200"/>
        <w:rPr>
          <w:rFonts w:ascii="Times New Roman" w:hAnsi="Times New Roman"/>
          <w:sz w:val="24"/>
          <w:szCs w:val="24"/>
        </w:rPr>
      </w:pPr>
      <w:r>
        <w:rPr>
          <w:rFonts w:hint="eastAsia" w:ascii="Times New Roman" w:hAnsi="Times New Roman"/>
          <w:sz w:val="24"/>
          <w:szCs w:val="24"/>
        </w:rPr>
        <w:t>5）轨道中心距：13.5m。</w:t>
      </w:r>
    </w:p>
    <w:p w14:paraId="15E1C424">
      <w:pPr>
        <w:spacing w:line="360" w:lineRule="auto"/>
        <w:ind w:firstLine="480" w:firstLineChars="200"/>
        <w:rPr>
          <w:rFonts w:ascii="Times New Roman" w:hAnsi="Times New Roman"/>
          <w:sz w:val="24"/>
          <w:szCs w:val="24"/>
        </w:rPr>
      </w:pPr>
      <w:r>
        <w:rPr>
          <w:rFonts w:hint="eastAsia" w:ascii="Times New Roman" w:hAnsi="Times New Roman"/>
          <w:sz w:val="24"/>
          <w:szCs w:val="24"/>
        </w:rPr>
        <w:t>6）主钩吊程：≮25m。</w:t>
      </w:r>
    </w:p>
    <w:p w14:paraId="2908CFE5">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7）副钩吊程：≮30m。 </w:t>
      </w:r>
    </w:p>
    <w:p w14:paraId="221113F6">
      <w:pPr>
        <w:spacing w:line="360" w:lineRule="auto"/>
        <w:ind w:firstLine="480" w:firstLineChars="200"/>
        <w:rPr>
          <w:rFonts w:ascii="Times New Roman" w:hAnsi="Times New Roman"/>
          <w:sz w:val="24"/>
          <w:szCs w:val="24"/>
        </w:rPr>
      </w:pPr>
      <w:r>
        <w:rPr>
          <w:rFonts w:hint="eastAsia" w:ascii="Times New Roman" w:hAnsi="Times New Roman"/>
          <w:sz w:val="24"/>
          <w:szCs w:val="24"/>
        </w:rPr>
        <w:t>8）主、副钩最边限位：详见土建招标站身剖面图。</w:t>
      </w:r>
    </w:p>
    <w:p w14:paraId="0FCABC1E">
      <w:pPr>
        <w:spacing w:line="360" w:lineRule="auto"/>
        <w:ind w:firstLine="480" w:firstLineChars="200"/>
        <w:rPr>
          <w:rFonts w:ascii="Times New Roman" w:hAnsi="Times New Roman"/>
          <w:sz w:val="24"/>
          <w:szCs w:val="24"/>
        </w:rPr>
      </w:pPr>
      <w:r>
        <w:rPr>
          <w:rFonts w:hint="eastAsia" w:ascii="Times New Roman" w:hAnsi="Times New Roman"/>
          <w:sz w:val="24"/>
          <w:szCs w:val="24"/>
        </w:rPr>
        <w:t>9）可地操、空操，操作室为开式，检修吊笼及操作室布置位置和进入方位详见土建招标站身剖面图，或由监理人根据现场情况书面确认。</w:t>
      </w:r>
    </w:p>
    <w:p w14:paraId="63768051">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10）起重机主钩起升速度 0-2.5m/min，副钩起升速度 0-9.0m/min。 </w:t>
      </w:r>
    </w:p>
    <w:p w14:paraId="00B8C23D">
      <w:pPr>
        <w:spacing w:line="360" w:lineRule="auto"/>
        <w:ind w:firstLine="480" w:firstLineChars="200"/>
        <w:rPr>
          <w:rFonts w:ascii="Times New Roman" w:hAnsi="Times New Roman"/>
          <w:sz w:val="24"/>
          <w:szCs w:val="24"/>
        </w:rPr>
      </w:pPr>
      <w:r>
        <w:rPr>
          <w:rFonts w:hint="eastAsia" w:ascii="Times New Roman" w:hAnsi="Times New Roman"/>
          <w:sz w:val="24"/>
          <w:szCs w:val="24"/>
        </w:rPr>
        <w:t>11）大车运行速度 30m/min，小车运行速度20m/min。</w:t>
      </w:r>
    </w:p>
    <w:p w14:paraId="7ECC326F">
      <w:pPr>
        <w:spacing w:line="360" w:lineRule="auto"/>
        <w:ind w:firstLine="480" w:firstLineChars="200"/>
        <w:rPr>
          <w:rFonts w:ascii="Times New Roman" w:hAnsi="Times New Roman"/>
          <w:sz w:val="24"/>
          <w:szCs w:val="24"/>
        </w:rPr>
      </w:pPr>
      <w:r>
        <w:rPr>
          <w:rFonts w:hint="eastAsia" w:ascii="Times New Roman" w:hAnsi="Times New Roman"/>
          <w:sz w:val="24"/>
          <w:szCs w:val="24"/>
        </w:rPr>
        <w:t>12）制动装置采用液压式。</w:t>
      </w:r>
    </w:p>
    <w:p w14:paraId="6D596AD9">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13）主副起升采用变频调速 </w:t>
      </w:r>
    </w:p>
    <w:p w14:paraId="3FEC5282">
      <w:pPr>
        <w:pStyle w:val="2"/>
        <w:ind w:firstLine="480" w:firstLineChars="200"/>
        <w:rPr>
          <w:rFonts w:ascii="Times New Roman" w:hAnsi="Times New Roman"/>
        </w:rPr>
      </w:pPr>
      <w:r>
        <w:rPr>
          <w:rFonts w:hint="eastAsia" w:ascii="Times New Roman" w:hAnsi="Times New Roman"/>
        </w:rPr>
        <w:t>14）运行机构为串电阻控制。</w:t>
      </w:r>
    </w:p>
    <w:p w14:paraId="3D63C20E">
      <w:pPr>
        <w:pStyle w:val="2"/>
        <w:ind w:firstLine="480" w:firstLineChars="200"/>
        <w:rPr>
          <w:rFonts w:ascii="Times New Roman" w:hAnsi="Times New Roman"/>
        </w:rPr>
      </w:pPr>
      <w:r>
        <w:rPr>
          <w:rFonts w:hint="eastAsia" w:ascii="Times New Roman" w:hAnsi="Times New Roman"/>
        </w:rPr>
        <w:t>15）起重机需配备PLC功能。</w:t>
      </w:r>
    </w:p>
    <w:p w14:paraId="25BBCDB0">
      <w:pPr>
        <w:pStyle w:val="2"/>
        <w:ind w:firstLine="480" w:firstLineChars="200"/>
        <w:rPr>
          <w:rFonts w:ascii="Times New Roman" w:hAnsi="Times New Roman"/>
        </w:rPr>
      </w:pPr>
      <w:r>
        <w:rPr>
          <w:rFonts w:hint="eastAsia" w:ascii="Times New Roman" w:hAnsi="Times New Roman"/>
        </w:rPr>
        <w:t>16）起重机需配备集中润滑。</w:t>
      </w:r>
    </w:p>
    <w:p w14:paraId="6C1F6CC7">
      <w:pPr>
        <w:pStyle w:val="2"/>
        <w:ind w:firstLine="480" w:firstLineChars="200"/>
        <w:rPr>
          <w:rFonts w:ascii="Times New Roman" w:hAnsi="Times New Roman"/>
        </w:rPr>
      </w:pPr>
      <w:r>
        <w:rPr>
          <w:rFonts w:hint="eastAsia" w:ascii="Times New Roman" w:hAnsi="Times New Roman"/>
        </w:rPr>
        <w:t>17）起重机小车采用拖令供电。</w:t>
      </w:r>
    </w:p>
    <w:p w14:paraId="14AE258F">
      <w:pPr>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2.电动双梁桥式起重机  （以最终设计为准）</w:t>
      </w:r>
    </w:p>
    <w:p w14:paraId="6BDF39C8">
      <w:pPr>
        <w:spacing w:line="360" w:lineRule="auto"/>
        <w:ind w:firstLine="480" w:firstLineChars="200"/>
        <w:rPr>
          <w:rFonts w:ascii="Times New Roman" w:hAnsi="Times New Roman"/>
          <w:sz w:val="24"/>
          <w:szCs w:val="24"/>
        </w:rPr>
      </w:pPr>
      <w:r>
        <w:rPr>
          <w:rFonts w:hint="eastAsia" w:ascii="Times New Roman" w:hAnsi="Times New Roman"/>
          <w:sz w:val="24"/>
          <w:szCs w:val="24"/>
        </w:rPr>
        <w:t>1）起重机型式：</w:t>
      </w:r>
      <w:r>
        <w:rPr>
          <w:rFonts w:hint="eastAsia" w:ascii="Times New Roman" w:hAnsi="Times New Roman"/>
          <w:b/>
          <w:bCs/>
          <w:sz w:val="24"/>
          <w:szCs w:val="24"/>
        </w:rPr>
        <w:t xml:space="preserve">电动双梁桥式起重机 </w:t>
      </w:r>
      <w:r>
        <w:rPr>
          <w:rFonts w:hint="eastAsia" w:ascii="Times New Roman" w:hAnsi="Times New Roman"/>
          <w:sz w:val="24"/>
          <w:szCs w:val="24"/>
        </w:rPr>
        <w:t>。</w:t>
      </w:r>
    </w:p>
    <w:p w14:paraId="429F0584">
      <w:pPr>
        <w:spacing w:line="360" w:lineRule="auto"/>
        <w:ind w:firstLine="480" w:firstLineChars="200"/>
        <w:rPr>
          <w:rFonts w:ascii="Times New Roman" w:hAnsi="Times New Roman"/>
          <w:sz w:val="24"/>
          <w:szCs w:val="24"/>
        </w:rPr>
      </w:pPr>
      <w:r>
        <w:rPr>
          <w:rFonts w:hint="eastAsia" w:ascii="Times New Roman" w:hAnsi="Times New Roman"/>
          <w:sz w:val="24"/>
          <w:szCs w:val="24"/>
        </w:rPr>
        <w:t>2）起重等级：300kN。</w:t>
      </w:r>
    </w:p>
    <w:p w14:paraId="67018E3E">
      <w:pPr>
        <w:spacing w:line="360" w:lineRule="auto"/>
        <w:ind w:firstLine="480" w:firstLineChars="200"/>
        <w:rPr>
          <w:rFonts w:ascii="Times New Roman" w:hAnsi="Times New Roman"/>
          <w:sz w:val="24"/>
          <w:szCs w:val="24"/>
        </w:rPr>
      </w:pPr>
      <w:r>
        <w:rPr>
          <w:rFonts w:hint="eastAsia" w:ascii="Times New Roman" w:hAnsi="Times New Roman"/>
          <w:sz w:val="24"/>
          <w:szCs w:val="24"/>
        </w:rPr>
        <w:t>3）起重机工作级别：A3</w:t>
      </w:r>
    </w:p>
    <w:p w14:paraId="42159F4E">
      <w:pPr>
        <w:spacing w:line="360" w:lineRule="auto"/>
        <w:ind w:firstLine="480" w:firstLineChars="200"/>
        <w:rPr>
          <w:rFonts w:ascii="Times New Roman" w:hAnsi="Times New Roman"/>
          <w:sz w:val="24"/>
          <w:szCs w:val="24"/>
        </w:rPr>
      </w:pPr>
      <w:r>
        <w:rPr>
          <w:rFonts w:hint="eastAsia" w:ascii="Times New Roman" w:hAnsi="Times New Roman"/>
          <w:sz w:val="24"/>
          <w:szCs w:val="24"/>
        </w:rPr>
        <w:t>4）使用电源：50HZ、380V 三相交流电。</w:t>
      </w:r>
    </w:p>
    <w:p w14:paraId="741FE4F9">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5）轨道中心距：8.5m。 </w:t>
      </w:r>
    </w:p>
    <w:p w14:paraId="242319EF">
      <w:pPr>
        <w:spacing w:line="360" w:lineRule="auto"/>
        <w:ind w:firstLine="480" w:firstLineChars="200"/>
        <w:rPr>
          <w:rFonts w:ascii="Times New Roman" w:hAnsi="Times New Roman"/>
          <w:sz w:val="24"/>
          <w:szCs w:val="24"/>
        </w:rPr>
      </w:pPr>
      <w:r>
        <w:rPr>
          <w:rFonts w:hint="eastAsia" w:ascii="Times New Roman" w:hAnsi="Times New Roman"/>
          <w:sz w:val="24"/>
          <w:szCs w:val="24"/>
        </w:rPr>
        <w:t>6）吊钩吊程：≮25m。</w:t>
      </w:r>
    </w:p>
    <w:p w14:paraId="750AA10D">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8）吊钩最边限位：详见土建招标站身剖面图。 </w:t>
      </w:r>
    </w:p>
    <w:p w14:paraId="1F93118A">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9）操作室为开式，检修吊笼及操作室布置位置和进入方位详见土建招标站身剖面图， 或由监理人根据现场情况书面确认。 </w:t>
      </w:r>
    </w:p>
    <w:p w14:paraId="78C2AC12">
      <w:pPr>
        <w:spacing w:line="360" w:lineRule="auto"/>
        <w:ind w:firstLine="480" w:firstLineChars="200"/>
        <w:rPr>
          <w:rFonts w:ascii="Times New Roman" w:hAnsi="Times New Roman"/>
          <w:sz w:val="24"/>
          <w:szCs w:val="24"/>
        </w:rPr>
      </w:pPr>
      <w:r>
        <w:rPr>
          <w:rFonts w:hint="eastAsia" w:ascii="Times New Roman" w:hAnsi="Times New Roman"/>
          <w:sz w:val="24"/>
          <w:szCs w:val="24"/>
        </w:rPr>
        <w:t>10）起重机吊钩起升速度 0-2.0m/min。</w:t>
      </w:r>
    </w:p>
    <w:p w14:paraId="030C8D43">
      <w:pPr>
        <w:spacing w:line="360" w:lineRule="auto"/>
        <w:ind w:firstLine="480" w:firstLineChars="200"/>
        <w:rPr>
          <w:rFonts w:ascii="Times New Roman" w:hAnsi="Times New Roman"/>
          <w:sz w:val="24"/>
          <w:szCs w:val="24"/>
        </w:rPr>
      </w:pPr>
      <w:r>
        <w:rPr>
          <w:rFonts w:hint="eastAsia" w:ascii="Times New Roman" w:hAnsi="Times New Roman"/>
          <w:sz w:val="24"/>
          <w:szCs w:val="24"/>
        </w:rPr>
        <w:t>11）大车运行速度30m/min，小车运行20m/min。</w:t>
      </w:r>
    </w:p>
    <w:p w14:paraId="2F5C5CB5">
      <w:pPr>
        <w:spacing w:line="360" w:lineRule="auto"/>
        <w:ind w:firstLine="480" w:firstLineChars="200"/>
        <w:rPr>
          <w:rFonts w:ascii="Times New Roman" w:hAnsi="Times New Roman"/>
          <w:sz w:val="24"/>
          <w:szCs w:val="24"/>
        </w:rPr>
      </w:pPr>
      <w:r>
        <w:rPr>
          <w:rFonts w:hint="eastAsia" w:ascii="Times New Roman" w:hAnsi="Times New Roman"/>
          <w:sz w:val="24"/>
          <w:szCs w:val="24"/>
        </w:rPr>
        <w:t>12）制动装置采用液压式。</w:t>
      </w:r>
    </w:p>
    <w:p w14:paraId="628376D6">
      <w:pPr>
        <w:spacing w:line="360" w:lineRule="auto"/>
        <w:ind w:firstLine="480" w:firstLineChars="200"/>
        <w:rPr>
          <w:rFonts w:ascii="Times New Roman" w:hAnsi="Times New Roman"/>
          <w:sz w:val="24"/>
          <w:szCs w:val="24"/>
        </w:rPr>
      </w:pPr>
      <w:r>
        <w:rPr>
          <w:rFonts w:hint="eastAsia" w:ascii="Times New Roman" w:hAnsi="Times New Roman"/>
          <w:sz w:val="24"/>
          <w:szCs w:val="24"/>
        </w:rPr>
        <w:t>13）起升采用变频调速</w:t>
      </w:r>
    </w:p>
    <w:p w14:paraId="72FC8253">
      <w:pPr>
        <w:pStyle w:val="2"/>
        <w:ind w:firstLine="480" w:firstLineChars="200"/>
        <w:rPr>
          <w:rFonts w:ascii="Times New Roman" w:hAnsi="Times New Roman"/>
        </w:rPr>
      </w:pPr>
      <w:r>
        <w:rPr>
          <w:rFonts w:hint="eastAsia" w:ascii="Times New Roman" w:hAnsi="Times New Roman"/>
        </w:rPr>
        <w:t>14）运行机构为串电阻控制。</w:t>
      </w:r>
    </w:p>
    <w:p w14:paraId="3014B927">
      <w:pPr>
        <w:pStyle w:val="2"/>
        <w:ind w:firstLine="480" w:firstLineChars="200"/>
        <w:rPr>
          <w:rFonts w:ascii="Times New Roman" w:hAnsi="Times New Roman"/>
        </w:rPr>
      </w:pPr>
      <w:r>
        <w:rPr>
          <w:rFonts w:hint="eastAsia" w:ascii="Times New Roman" w:hAnsi="Times New Roman"/>
        </w:rPr>
        <w:t>15）起重机需配备PLC功能。</w:t>
      </w:r>
    </w:p>
    <w:p w14:paraId="7DED78B8">
      <w:pPr>
        <w:pStyle w:val="2"/>
        <w:ind w:firstLine="480" w:firstLineChars="200"/>
        <w:rPr>
          <w:rFonts w:ascii="Times New Roman" w:hAnsi="Times New Roman"/>
        </w:rPr>
      </w:pPr>
      <w:r>
        <w:rPr>
          <w:rFonts w:hint="eastAsia" w:ascii="Times New Roman" w:hAnsi="Times New Roman"/>
        </w:rPr>
        <w:t>16）起重机需配备集中润滑。</w:t>
      </w:r>
    </w:p>
    <w:p w14:paraId="2DF9B5D1">
      <w:pPr>
        <w:pStyle w:val="2"/>
        <w:ind w:firstLine="480" w:firstLineChars="200"/>
        <w:rPr>
          <w:rFonts w:ascii="Times New Roman" w:hAnsi="Times New Roman"/>
        </w:rPr>
      </w:pPr>
      <w:r>
        <w:rPr>
          <w:rFonts w:hint="eastAsia" w:ascii="Times New Roman" w:hAnsi="Times New Roman"/>
        </w:rPr>
        <w:t>17）起重机小车采用拖令供电。</w:t>
      </w:r>
    </w:p>
    <w:p w14:paraId="6451972C">
      <w:pPr>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6.4技术要求</w:t>
      </w:r>
    </w:p>
    <w:p w14:paraId="75938295">
      <w:pPr>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 xml:space="preserve">1.基本要求 </w:t>
      </w:r>
    </w:p>
    <w:p w14:paraId="0A1C20F7">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（1）铸造工艺要求：铸件表面应光洁，不得有有碍于质量及外观的气孔、砂眼及浇铸 不足的缺陷。不得有任何裂缝。表面无砂眼、毛刺、油漆涂层光滑，无剥落现象。铸件材 质不含非金属物和其它杂质。所有未经机械加工的铸件表面应进行磨光处理并仔细清理铸 件毛刺。铸件表面质量和内部质量按国家相关标准、规范验收。铸件的有害缺陷不得修 补，不影响使用性能的一般缺陷修补后须符合产品的技术条件。铸件焊补后必须进行消除 应力处理。 </w:t>
      </w:r>
    </w:p>
    <w:p w14:paraId="6D3C1EB2">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（2）焊接工艺要求：焊缝的检查及试验应根据相关适用的标准进行。设备生产厂家应 提供焊接工艺评定。焊缝坡口应符合 GB985 和 GB986 的规定，特殊接头应在图样上注明。 焊缝外部检查不得有目测可见的明显缺陷，这些缺陷按 GB6417 分类为：裂纹、孔穴、固体 夹杂、未熔合和未焊透、形状缺陷及上述以外的其他缺陷。主梁受拉区的翼缘板、腹板的 对接焊缝为 1 类焊缝。 </w:t>
      </w:r>
    </w:p>
    <w:p w14:paraId="1F4E97A9">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（3）设备制造应采用先进的工艺，保证运行可靠。 </w:t>
      </w:r>
    </w:p>
    <w:p w14:paraId="5B7D4A62">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（4）所有零部件在设计负荷下应不产生扭曲、过量磨损或变形。 </w:t>
      </w:r>
    </w:p>
    <w:p w14:paraId="686BC5D7">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（5）起重机桥架的刚度应符合合同要求，上拱度应满足上述有关规范规程。 </w:t>
      </w:r>
    </w:p>
    <w:p w14:paraId="6ED67EDE">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（6）零部件应有良好的互换性和便于检修。 </w:t>
      </w:r>
    </w:p>
    <w:p w14:paraId="4D256EA8">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（7）起重机吊钩作业面范围和大车轨上最大高度应满足厂房图纸要求。 </w:t>
      </w:r>
    </w:p>
    <w:p w14:paraId="1E36487D">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（8）中标人应按有关的技术条款和标准对所有铸件、锻件、板材等材料机械性能和化 学性能进行检查验收。 </w:t>
      </w:r>
    </w:p>
    <w:p w14:paraId="3962FA7B">
      <w:pPr>
        <w:spacing w:line="360" w:lineRule="auto"/>
        <w:ind w:firstLine="480" w:firstLineChars="200"/>
        <w:rPr>
          <w:rFonts w:ascii="Times New Roman" w:hAnsi="Times New Roman"/>
          <w:sz w:val="24"/>
          <w:szCs w:val="24"/>
        </w:rPr>
      </w:pPr>
      <w:r>
        <w:rPr>
          <w:rFonts w:hint="eastAsia" w:ascii="Times New Roman" w:hAnsi="Times New Roman"/>
          <w:sz w:val="24"/>
          <w:szCs w:val="24"/>
        </w:rPr>
        <w:t>（9）电动机、齿轮箱、制动器、主要电器控制设备应注明生产厂家等。</w:t>
      </w:r>
    </w:p>
    <w:p w14:paraId="2CFF8BEE">
      <w:pPr>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 xml:space="preserve">2. 机械装置 </w:t>
      </w:r>
    </w:p>
    <w:p w14:paraId="1725E437">
      <w:pPr>
        <w:spacing w:line="360" w:lineRule="auto"/>
        <w:ind w:firstLine="480" w:firstLineChars="200"/>
        <w:rPr>
          <w:rFonts w:ascii="Times New Roman" w:hAnsi="Times New Roman"/>
          <w:sz w:val="24"/>
          <w:szCs w:val="24"/>
        </w:rPr>
      </w:pPr>
      <w:r>
        <w:rPr>
          <w:rFonts w:hint="eastAsia" w:ascii="Times New Roman" w:hAnsi="Times New Roman"/>
          <w:sz w:val="24"/>
          <w:szCs w:val="24"/>
        </w:rPr>
        <w:t>2.1制动器</w:t>
      </w:r>
    </w:p>
    <w:p w14:paraId="5C928C28">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（1）制动器开启灵活，制动应平稳可靠。 </w:t>
      </w:r>
    </w:p>
    <w:p w14:paraId="158F7F02">
      <w:pPr>
        <w:spacing w:line="360" w:lineRule="auto"/>
        <w:ind w:firstLine="480" w:firstLineChars="200"/>
        <w:rPr>
          <w:rFonts w:ascii="Times New Roman" w:hAnsi="Times New Roman"/>
          <w:sz w:val="24"/>
          <w:szCs w:val="24"/>
        </w:rPr>
      </w:pPr>
      <w:r>
        <w:rPr>
          <w:rFonts w:hint="eastAsia" w:ascii="Times New Roman" w:hAnsi="Times New Roman"/>
          <w:sz w:val="24"/>
          <w:szCs w:val="24"/>
        </w:rPr>
        <w:t>（2）运行机构的制动器应能刹住大车和小车，但不宜调整过紧，防止车轮打滑和引起震动、冲击。</w:t>
      </w:r>
    </w:p>
    <w:p w14:paraId="036BD5F9">
      <w:pPr>
        <w:spacing w:line="360" w:lineRule="auto"/>
        <w:ind w:firstLine="480" w:firstLineChars="200"/>
        <w:rPr>
          <w:rFonts w:ascii="Times New Roman" w:hAnsi="Times New Roman"/>
          <w:sz w:val="24"/>
          <w:szCs w:val="24"/>
        </w:rPr>
      </w:pPr>
      <w:r>
        <w:rPr>
          <w:rFonts w:hint="eastAsia" w:ascii="Times New Roman" w:hAnsi="Times New Roman"/>
          <w:sz w:val="24"/>
          <w:szCs w:val="24"/>
        </w:rPr>
        <w:t>（3）在设备移交管理单位前，刹车用油应二次注油。</w:t>
      </w:r>
    </w:p>
    <w:p w14:paraId="4CC2FF24">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2齿轮箱</w:t>
      </w:r>
    </w:p>
    <w:p w14:paraId="0D23434E">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（1）齿轮箱全部采用硬齿面减速箱，运行平稳、密封良好，无渗漏。 </w:t>
      </w:r>
    </w:p>
    <w:p w14:paraId="4B12311F">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（2）齿轮箱在安装时应换加齿轮油。 </w:t>
      </w:r>
    </w:p>
    <w:p w14:paraId="652BCA7C">
      <w:pPr>
        <w:spacing w:line="360" w:lineRule="auto"/>
        <w:ind w:firstLine="480" w:firstLineChars="200"/>
        <w:rPr>
          <w:rFonts w:ascii="Times New Roman" w:hAnsi="Times New Roman"/>
          <w:sz w:val="24"/>
          <w:szCs w:val="24"/>
        </w:rPr>
      </w:pPr>
      <w:r>
        <w:rPr>
          <w:rFonts w:hint="eastAsia" w:ascii="Times New Roman" w:hAnsi="Times New Roman"/>
          <w:sz w:val="24"/>
          <w:szCs w:val="24"/>
        </w:rPr>
        <w:t>（3）在移交管理单位前齿轮箱应加注齿轮油。</w:t>
      </w:r>
    </w:p>
    <w:p w14:paraId="70627647">
      <w:pPr>
        <w:spacing w:line="360" w:lineRule="auto"/>
        <w:ind w:firstLine="480" w:firstLineChars="200"/>
        <w:rPr>
          <w:rFonts w:ascii="Times New Roman" w:hAnsi="Times New Roman"/>
          <w:sz w:val="24"/>
          <w:szCs w:val="24"/>
        </w:rPr>
      </w:pPr>
      <w:r>
        <w:rPr>
          <w:rFonts w:hint="eastAsia" w:ascii="Times New Roman" w:hAnsi="Times New Roman"/>
          <w:sz w:val="24"/>
          <w:szCs w:val="24"/>
        </w:rPr>
        <w:t>2.3电动机</w:t>
      </w:r>
    </w:p>
    <w:p w14:paraId="183E4586">
      <w:pPr>
        <w:numPr>
          <w:ilvl w:val="0"/>
          <w:numId w:val="1"/>
        </w:num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采用三相异步电动机，电机工作制为S3或S4。 </w:t>
      </w:r>
    </w:p>
    <w:p w14:paraId="260D2714">
      <w:pPr>
        <w:numPr>
          <w:ilvl w:val="0"/>
          <w:numId w:val="1"/>
        </w:numPr>
        <w:spacing w:line="360" w:lineRule="auto"/>
        <w:ind w:firstLine="480" w:firstLineChars="200"/>
        <w:rPr>
          <w:rFonts w:ascii="Times New Roman" w:hAnsi="Times New Roman"/>
          <w:sz w:val="24"/>
          <w:szCs w:val="24"/>
        </w:rPr>
      </w:pPr>
      <w:r>
        <w:rPr>
          <w:rFonts w:hint="eastAsia" w:ascii="Times New Roman" w:hAnsi="Times New Roman"/>
          <w:sz w:val="24"/>
          <w:szCs w:val="24"/>
        </w:rPr>
        <w:t>电机的防护等级为不低于IP44，绝缘等级F</w:t>
      </w:r>
    </w:p>
    <w:p w14:paraId="1D3C7515">
      <w:pPr>
        <w:spacing w:line="360" w:lineRule="auto"/>
        <w:ind w:firstLine="480" w:firstLineChars="200"/>
        <w:rPr>
          <w:rFonts w:ascii="Times New Roman" w:hAnsi="Times New Roman"/>
          <w:sz w:val="24"/>
          <w:szCs w:val="24"/>
        </w:rPr>
      </w:pPr>
      <w:r>
        <w:rPr>
          <w:rFonts w:hint="eastAsia" w:ascii="Times New Roman" w:hAnsi="Times New Roman"/>
          <w:sz w:val="24"/>
          <w:szCs w:val="24"/>
        </w:rPr>
        <w:t>2.4吊钩</w:t>
      </w:r>
    </w:p>
    <w:p w14:paraId="09E79079">
      <w:pPr>
        <w:numPr>
          <w:ilvl w:val="255"/>
          <w:numId w:val="0"/>
        </w:numPr>
        <w:spacing w:line="360" w:lineRule="auto"/>
        <w:ind w:firstLine="960" w:firstLineChars="400"/>
        <w:rPr>
          <w:rFonts w:ascii="Times New Roman" w:hAnsi="Times New Roman"/>
          <w:sz w:val="24"/>
          <w:szCs w:val="24"/>
        </w:rPr>
      </w:pPr>
      <w:r>
        <w:rPr>
          <w:rFonts w:hint="eastAsia" w:ascii="Times New Roman" w:hAnsi="Times New Roman"/>
          <w:sz w:val="24"/>
          <w:szCs w:val="24"/>
        </w:rPr>
        <w:t>吊钩组由吊钩和球墨铸铁制成的滑轮等组成。采用抗磨滚子轴承；吊钩可以 360°旋转，配备弹簧压紧的安全扣可以防止滑脱；</w:t>
      </w:r>
    </w:p>
    <w:p w14:paraId="54BC90F4">
      <w:pPr>
        <w:spacing w:line="360" w:lineRule="auto"/>
        <w:ind w:firstLine="480" w:firstLineChars="200"/>
        <w:rPr>
          <w:rFonts w:ascii="Times New Roman" w:hAnsi="Times New Roman"/>
          <w:sz w:val="24"/>
          <w:szCs w:val="24"/>
        </w:rPr>
      </w:pPr>
      <w:r>
        <w:rPr>
          <w:rFonts w:hint="eastAsia" w:ascii="Times New Roman" w:hAnsi="Times New Roman"/>
          <w:sz w:val="24"/>
          <w:szCs w:val="24"/>
        </w:rPr>
        <w:t>2.5卷筒组</w:t>
      </w:r>
    </w:p>
    <w:p w14:paraId="306151BD">
      <w:pPr>
        <w:numPr>
          <w:ilvl w:val="255"/>
          <w:numId w:val="0"/>
        </w:numPr>
        <w:spacing w:line="360" w:lineRule="auto"/>
        <w:ind w:firstLine="720" w:firstLineChars="300"/>
        <w:rPr>
          <w:rFonts w:ascii="Times New Roman" w:hAnsi="Times New Roman"/>
          <w:sz w:val="24"/>
          <w:szCs w:val="24"/>
        </w:rPr>
      </w:pPr>
      <w:r>
        <w:rPr>
          <w:rFonts w:hint="eastAsia" w:ascii="Times New Roman" w:hAnsi="Times New Roman"/>
          <w:sz w:val="24"/>
          <w:szCs w:val="24"/>
        </w:rPr>
        <w:t>采用钢板卷制，保证增强钢丝绳寿命；钢丝绳用夹具固定，至少有2圈钢丝绳被固定不动；重级制轴承；</w:t>
      </w:r>
    </w:p>
    <w:p w14:paraId="3672B258">
      <w:pPr>
        <w:spacing w:line="360" w:lineRule="auto"/>
        <w:ind w:firstLine="480" w:firstLineChars="200"/>
        <w:rPr>
          <w:rFonts w:ascii="Times New Roman" w:hAnsi="Times New Roman"/>
          <w:sz w:val="24"/>
          <w:szCs w:val="24"/>
        </w:rPr>
      </w:pPr>
      <w:r>
        <w:rPr>
          <w:rFonts w:hint="eastAsia" w:ascii="Times New Roman" w:hAnsi="Times New Roman"/>
          <w:sz w:val="24"/>
          <w:szCs w:val="24"/>
        </w:rPr>
        <w:t>2.6钢丝绳</w:t>
      </w:r>
    </w:p>
    <w:p w14:paraId="08587559">
      <w:pPr>
        <w:numPr>
          <w:ilvl w:val="255"/>
          <w:numId w:val="0"/>
        </w:numPr>
        <w:spacing w:line="360" w:lineRule="auto"/>
        <w:ind w:firstLine="480" w:firstLineChars="200"/>
        <w:rPr>
          <w:rFonts w:ascii="Times New Roman" w:hAnsi="Times New Roman"/>
          <w:sz w:val="24"/>
          <w:szCs w:val="24"/>
        </w:rPr>
      </w:pPr>
      <w:r>
        <w:rPr>
          <w:rFonts w:hint="eastAsia" w:ascii="Times New Roman" w:hAnsi="Times New Roman"/>
          <w:sz w:val="24"/>
          <w:szCs w:val="24"/>
        </w:rPr>
        <w:t>起升机构钢丝绳应采用符合国际和中国现行有关标准的产品，所有钢丝绳采用高强钢丝绳，无需维护或涂防锈油，重级制；</w:t>
      </w:r>
    </w:p>
    <w:p w14:paraId="28752269">
      <w:pPr>
        <w:spacing w:line="360" w:lineRule="auto"/>
        <w:ind w:firstLine="480" w:firstLineChars="200"/>
        <w:rPr>
          <w:rFonts w:ascii="Times New Roman" w:hAnsi="Times New Roman"/>
          <w:sz w:val="24"/>
          <w:szCs w:val="24"/>
        </w:rPr>
      </w:pPr>
      <w:r>
        <w:rPr>
          <w:rFonts w:hint="eastAsia" w:ascii="Times New Roman" w:hAnsi="Times New Roman"/>
          <w:sz w:val="24"/>
          <w:szCs w:val="24"/>
        </w:rPr>
        <w:t>2.7传动模式</w:t>
      </w:r>
    </w:p>
    <w:p w14:paraId="2978C0B1">
      <w:pPr>
        <w:numPr>
          <w:ilvl w:val="255"/>
          <w:numId w:val="0"/>
        </w:numPr>
        <w:spacing w:line="360" w:lineRule="auto"/>
        <w:ind w:firstLine="480" w:firstLineChars="200"/>
        <w:rPr>
          <w:rFonts w:ascii="Times New Roman" w:hAnsi="Times New Roman"/>
          <w:sz w:val="24"/>
          <w:szCs w:val="24"/>
        </w:rPr>
      </w:pPr>
      <w:r>
        <w:rPr>
          <w:rFonts w:hint="eastAsia" w:ascii="Times New Roman" w:hAnsi="Times New Roman"/>
          <w:sz w:val="24"/>
          <w:szCs w:val="24"/>
        </w:rPr>
        <w:t>（1）起升机构传动模式为电动机—制动器—减速器—卷筒组—工作部件</w:t>
      </w:r>
    </w:p>
    <w:p w14:paraId="5AEC718B">
      <w:pPr>
        <w:numPr>
          <w:ilvl w:val="255"/>
          <w:numId w:val="0"/>
        </w:numPr>
        <w:spacing w:line="360" w:lineRule="auto"/>
        <w:ind w:firstLine="480" w:firstLineChars="200"/>
        <w:rPr>
          <w:rFonts w:ascii="仿宋_GB2312" w:hAnsi="宋体" w:eastAsia="仿宋_GB2312"/>
          <w:sz w:val="28"/>
          <w:szCs w:val="28"/>
        </w:rPr>
      </w:pPr>
      <w:r>
        <w:rPr>
          <w:rFonts w:hint="eastAsia" w:ascii="Times New Roman" w:hAnsi="Times New Roman"/>
          <w:sz w:val="24"/>
          <w:szCs w:val="24"/>
        </w:rPr>
        <w:t>（2）运行机构传动模式为电动机—制动器—减速器—车轮组</w:t>
      </w:r>
    </w:p>
    <w:p w14:paraId="798F9CFC">
      <w:pPr>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 xml:space="preserve">3. 电气装置 </w:t>
      </w:r>
    </w:p>
    <w:p w14:paraId="096A54F8">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（1）起重机供电采用 380V/220V、50Hz 三相交流电源，保证起重机内电动机端电压的 波动范围在额定电压的±5%之内。 </w:t>
      </w:r>
    </w:p>
    <w:p w14:paraId="5C4929D5">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（2）起重机内必须设置短路保护、过流保护、失压保护、紧急切断电动机运行保护、 各运行机构的零位保护和行程保护。操作控制室内能显示起吊件的重量，在起重机超载时 发出超载信号。控制室内设有的接通和断开起重机电源的控制应方便可靠。 </w:t>
      </w:r>
    </w:p>
    <w:p w14:paraId="23CE1F8F">
      <w:pPr>
        <w:spacing w:line="360" w:lineRule="auto"/>
        <w:ind w:firstLine="480" w:firstLineChars="200"/>
        <w:rPr>
          <w:rFonts w:ascii="Times New Roman" w:hAnsi="Times New Roman"/>
          <w:sz w:val="24"/>
          <w:szCs w:val="24"/>
        </w:rPr>
      </w:pPr>
      <w:r>
        <w:rPr>
          <w:rFonts w:hint="eastAsia" w:ascii="Times New Roman" w:hAnsi="Times New Roman"/>
          <w:sz w:val="24"/>
          <w:szCs w:val="24"/>
        </w:rPr>
        <w:t>（3）起重机内其它电子设备供电，必须与动力电源隔离，并采用稳压措施。</w:t>
      </w:r>
    </w:p>
    <w:p w14:paraId="58CB21DC">
      <w:pPr>
        <w:spacing w:line="360" w:lineRule="auto"/>
        <w:ind w:firstLine="480" w:firstLineChars="200"/>
        <w:rPr>
          <w:rFonts w:ascii="Times New Roman" w:hAnsi="Times New Roman"/>
          <w:sz w:val="24"/>
          <w:szCs w:val="24"/>
        </w:rPr>
      </w:pPr>
      <w:r>
        <w:rPr>
          <w:rFonts w:hint="eastAsia" w:ascii="Times New Roman" w:hAnsi="Times New Roman"/>
          <w:sz w:val="24"/>
          <w:szCs w:val="24"/>
        </w:rPr>
        <w:t>（4）所有电气设备和电气元件必须选用合适的起重机械的优质产品，配套电机和成套电气设备必须具有出厂试验报告。</w:t>
      </w:r>
    </w:p>
    <w:p w14:paraId="35D3BE48">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（5）电气设备应有防止误操作的的机械、电气联锁。各仪表、操作开关、按钮、信号 等的用途应标明在操作台的正面，各内部元件应标明代码。其操作方向应符合 GB4205 的规定。 </w:t>
      </w:r>
    </w:p>
    <w:p w14:paraId="40351B1B">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（6）起重机电气设备之间必须采用橡胶绝缘铜芯多股电缆，电缆的电压等级、耐气候 性、耐油要求、敷设方式必须符合环境条件要求。导线最小截面：控制导线不小于 2.5mm；信号线及辅助接线不小于 1.5mm。电气装置内部接线可以采用硬裸母线或塑料绝缘 铜芯导线。 </w:t>
      </w:r>
    </w:p>
    <w:p w14:paraId="265FDF5B">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（7）滑触线或软电缆的电源线，应装设隔离电气和短路保护器，并应装设在滑触线和软电缆附近。所有集电器应装设两只。 </w:t>
      </w:r>
    </w:p>
    <w:p w14:paraId="6F478683">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（8）起重机所有的金属结构必须保证有良好的电气连接并可靠接地，所有电气装置由 于绝缘损坏而可能带电的金属部分均要接地。 </w:t>
      </w:r>
    </w:p>
    <w:p w14:paraId="0B2AADB1">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（9）起重机行走轨道接地必须良好。 </w:t>
      </w:r>
    </w:p>
    <w:p w14:paraId="4352FB2B">
      <w:pPr>
        <w:spacing w:line="360" w:lineRule="auto"/>
        <w:ind w:firstLine="480" w:firstLineChars="200"/>
        <w:rPr>
          <w:rFonts w:ascii="Times New Roman" w:hAnsi="Times New Roman"/>
          <w:sz w:val="24"/>
          <w:szCs w:val="24"/>
        </w:rPr>
      </w:pPr>
      <w:r>
        <w:rPr>
          <w:rFonts w:hint="eastAsia" w:ascii="Times New Roman" w:hAnsi="Times New Roman"/>
          <w:sz w:val="24"/>
          <w:szCs w:val="24"/>
        </w:rPr>
        <w:t>（10）起重机应设置吊钩高度限位器、大、小车十字行程限位器、起重限制器、紧急断电开关、通道口联锁保护、滑线防护板、防护罩等安全装置。</w:t>
      </w:r>
    </w:p>
    <w:p w14:paraId="17D8385F">
      <w:pPr>
        <w:spacing w:line="360" w:lineRule="auto"/>
        <w:ind w:firstLine="480" w:firstLineChars="200"/>
        <w:rPr>
          <w:rFonts w:ascii="Times New Roman" w:hAnsi="Times New Roman"/>
          <w:sz w:val="24"/>
          <w:szCs w:val="24"/>
        </w:rPr>
      </w:pPr>
      <w:r>
        <w:rPr>
          <w:rFonts w:hint="eastAsia" w:ascii="Times New Roman" w:hAnsi="Times New Roman"/>
          <w:sz w:val="24"/>
          <w:szCs w:val="24"/>
        </w:rPr>
        <w:t>（11）电气元件的选用和导线电缆的的规格、尺寸、色标、相序、布置和连接均应合理和正确，保护电路需符合规范要求，其螺栓连接处需可靠接触。外壳选用需符合规定的防护等级，电气间隙和爬电距离需符合规范要求。机械连锁必须有效，操作零件的灵活性需经受连续操作 5 次的验证。</w:t>
      </w:r>
    </w:p>
    <w:p w14:paraId="27F130ED">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 1）绝缘电阻的验证：电控设备各个电路的绝缘电阻测试应在电路无电的状况下进行。 必要时，需在测试前先作短路接地放电处理。不能承受兆欧表电压冲击的电气元件应预先 撤出或短接。起重机电控设备中各电路的绝缘电阻值不得低于 1 兆欧。</w:t>
      </w:r>
    </w:p>
    <w:p w14:paraId="04E3397F">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 2）通电操作试验：检验接线是否正确，各操作元件动作是否正确可靠，符合设计要 求。试验前应先检查产品各电路是否完整（必要时可增加临时线），清除装配和配线过程 中散落的导体和杂物，确认可以通电。控制电路加 85%的额定电压和 110％的额定电压各操 作 5 次，各电气元件应动作灵活，动作顺序符合设计要求，无误动作和其它异常现象。各 保护环节的动作可靠性通过人为制造故障（如按动急停开关、分断限位开关等）逐一进行 检查。如有个别保护环节确实因条件限制无法在出厂试验时进行验证，应单独记录并通知 用户在现场补做。对于不在厂内整机安装的起重机，应在厂内各机构组装后，进行正反方向无载试运转，运转时间不得小于 2h。</w:t>
      </w:r>
    </w:p>
    <w:p w14:paraId="583F8BA5">
      <w:pPr>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 xml:space="preserve">4. 油漆 </w:t>
      </w:r>
    </w:p>
    <w:p w14:paraId="6C2BEF5E">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（1）油漆前钢材表面必须进行除锈的预处理（采用喷丸或喷砂的方法），其表面粗糙 度应达到《涂装前钢材表面锈蚀等级和除锈等级》（GB/T8923）中 Sa2.5 级。底漆采用环氧树脂富锌底漆，漆膜厚度和等级应符合《起重机技术规定》，此后方可进行放样下料、焊接工作。 </w:t>
      </w:r>
    </w:p>
    <w:p w14:paraId="2449998B">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（2）油漆的技术要求应按有关标准和规范执行，油漆工艺应按造漆厂的产品说明进 行。 </w:t>
      </w:r>
    </w:p>
    <w:p w14:paraId="3B7F1FA7">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（3）需选择适应作业地区气候条件的高质量油漆。 </w:t>
      </w:r>
    </w:p>
    <w:p w14:paraId="41CBE6AA">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（4）油漆按照国家标准进行施工及质量检验，并保证三年不脱落。外表的油漆颜色要 经监理人认可。 </w:t>
      </w:r>
    </w:p>
    <w:p w14:paraId="0268C3E6">
      <w:pPr>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 xml:space="preserve">5. 铭牌 </w:t>
      </w:r>
    </w:p>
    <w:p w14:paraId="437A3BE4">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桥式起重机所选主要设备均应有永久性铭牌，应标有制造厂名称、地址、设备出厂日 期、编号、型号、各项重要参数和功能。 在桥式起重机主梁跨中居外位置应设置明显的起重吨位牌采用不锈钢或黄铜制作，其 尺寸不小于 400×500 mm，在吨位牌上应标示出额定起重量及制造厂名和厂标、商标（如有 时）。在起重机司机室内明显位置应安装起重机标牌，标牌的内容有：1.起重机名称，2.起 重机主要性能参数，3.起重机型号，4.制造日期或生产编号，5.制造厂名等。 </w:t>
      </w:r>
    </w:p>
    <w:p w14:paraId="457D6233">
      <w:pPr>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6. 中标人对所有材料、协作件、外购件、标准件的质量负责。</w:t>
      </w:r>
    </w:p>
    <w:p w14:paraId="44343A6D">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6.5本专业工程安装技术要求 </w:t>
      </w:r>
    </w:p>
    <w:p w14:paraId="3937D8F3">
      <w:pPr>
        <w:spacing w:line="360" w:lineRule="auto"/>
        <w:ind w:firstLine="480" w:firstLineChars="200"/>
        <w:rPr>
          <w:rFonts w:ascii="Times New Roman" w:hAnsi="Times New Roman"/>
          <w:sz w:val="24"/>
          <w:szCs w:val="24"/>
        </w:rPr>
      </w:pPr>
      <w:r>
        <w:rPr>
          <w:rFonts w:hint="eastAsia" w:ascii="Times New Roman" w:hAnsi="Times New Roman"/>
          <w:sz w:val="24"/>
          <w:szCs w:val="24"/>
        </w:rPr>
        <w:t>6.5.1 中标人在开始桥机安装前 14 天，根据提交的技术文件和图纸，制定详 细的设备总成与零部件组装和吊装方法、安全措施；以及公共场地使用计划等的安装措施 计划，报送监理人审批。</w:t>
      </w:r>
    </w:p>
    <w:p w14:paraId="201C92BF">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6.5.2 桥机安装应遵照供货商技术文件和图纸及 GB/T10183、和GB50278的有关规定进行。 </w:t>
      </w:r>
    </w:p>
    <w:p w14:paraId="42B9917C">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6.5.3 桥机轨道安装前，应检查钢轨外形，发现有超值弯曲、扭曲等变形时应进行纠正，并经监理人检查合格后才可安装。吊装轨道前，应测量和标定轨道安装基准线，核对轨道基础、吊车梁和安装埋件。 </w:t>
      </w:r>
    </w:p>
    <w:p w14:paraId="7FF5B247">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6.5.4 轨道安装应符合施工图纸和 GB50278 第三章的要求。 </w:t>
      </w:r>
    </w:p>
    <w:p w14:paraId="26272B1A">
      <w:pPr>
        <w:spacing w:line="360" w:lineRule="auto"/>
        <w:ind w:firstLine="480" w:firstLineChars="200"/>
        <w:rPr>
          <w:rFonts w:ascii="Times New Roman" w:hAnsi="Times New Roman"/>
          <w:sz w:val="24"/>
          <w:szCs w:val="24"/>
        </w:rPr>
      </w:pPr>
      <w:r>
        <w:rPr>
          <w:rFonts w:hint="eastAsia" w:ascii="Times New Roman" w:hAnsi="Times New Roman"/>
          <w:sz w:val="24"/>
          <w:szCs w:val="24"/>
        </w:rPr>
        <w:t>6.5.5 完成轨道安装后，应全面复查各连接部位无松动现象。</w:t>
      </w:r>
    </w:p>
    <w:p w14:paraId="2CE778AC">
      <w:pPr>
        <w:spacing w:line="360" w:lineRule="auto"/>
        <w:ind w:firstLine="480" w:firstLineChars="200"/>
        <w:rPr>
          <w:rFonts w:ascii="Times New Roman" w:hAnsi="Times New Roman"/>
          <w:sz w:val="24"/>
          <w:szCs w:val="24"/>
        </w:rPr>
      </w:pPr>
      <w:r>
        <w:rPr>
          <w:rFonts w:hint="eastAsia" w:ascii="Times New Roman" w:hAnsi="Times New Roman"/>
          <w:sz w:val="24"/>
          <w:szCs w:val="24"/>
        </w:rPr>
        <w:t>6.5.6 轨道两端的车挡应在安装设备起吊前装妥；同跨同端的两车挡与缓冲器应接触良好，有偏差时应进行调整。</w:t>
      </w:r>
    </w:p>
    <w:p w14:paraId="3DDCD168">
      <w:pPr>
        <w:spacing w:line="360" w:lineRule="auto"/>
        <w:ind w:firstLine="480" w:firstLineChars="200"/>
        <w:rPr>
          <w:rFonts w:ascii="Times New Roman" w:hAnsi="Times New Roman"/>
          <w:sz w:val="24"/>
          <w:szCs w:val="24"/>
        </w:rPr>
      </w:pPr>
      <w:r>
        <w:rPr>
          <w:rFonts w:hint="eastAsia" w:ascii="Times New Roman" w:hAnsi="Times New Roman"/>
          <w:sz w:val="24"/>
          <w:szCs w:val="24"/>
        </w:rPr>
        <w:t>6.5.7 按合同约定，中标人应按施工安装图纸进行桥机滑触线支架的加工、防腐处理、安装。支架水平标高定位准确；滑触线安装牢固，运行可靠。</w:t>
      </w:r>
    </w:p>
    <w:p w14:paraId="119D7CE0">
      <w:pPr>
        <w:spacing w:line="360" w:lineRule="auto"/>
        <w:ind w:firstLine="480" w:firstLineChars="200"/>
        <w:rPr>
          <w:rFonts w:ascii="Times New Roman" w:hAnsi="Times New Roman"/>
          <w:sz w:val="24"/>
          <w:szCs w:val="24"/>
        </w:rPr>
      </w:pPr>
      <w:r>
        <w:rPr>
          <w:rFonts w:hint="eastAsia" w:ascii="Times New Roman" w:hAnsi="Times New Roman"/>
          <w:sz w:val="24"/>
          <w:szCs w:val="24"/>
        </w:rPr>
        <w:t>6.5.8 桥机安装完毕后，中标人应清除各部件的锈蚀脏斑，补涂涂装。转动部件重新注入润滑油、脂，并按 GB/T1231 的规定复核高强度螺栓连接副。</w:t>
      </w:r>
    </w:p>
    <w:p w14:paraId="5AB53A40">
      <w:pPr>
        <w:spacing w:line="360" w:lineRule="auto"/>
        <w:ind w:firstLine="480" w:firstLineChars="200"/>
        <w:rPr>
          <w:rFonts w:ascii="Times New Roman" w:hAnsi="Times New Roman"/>
          <w:sz w:val="24"/>
          <w:szCs w:val="24"/>
        </w:rPr>
      </w:pPr>
      <w:r>
        <w:rPr>
          <w:rFonts w:hint="eastAsia" w:ascii="Times New Roman" w:hAnsi="Times New Roman"/>
          <w:sz w:val="24"/>
          <w:szCs w:val="24"/>
        </w:rPr>
        <w:t>6.5.9 桥机的电气设备安装应按供货商的技术文件和图纸，以及 GB50256 的规定执 行。全部电气设备应可靠接地。</w:t>
      </w:r>
    </w:p>
    <w:p w14:paraId="2BEAF003">
      <w:pPr>
        <w:spacing w:line="360" w:lineRule="auto"/>
        <w:ind w:firstLine="480" w:firstLineChars="200"/>
        <w:rPr>
          <w:rFonts w:ascii="Times New Roman" w:hAnsi="Times New Roman"/>
          <w:sz w:val="24"/>
          <w:szCs w:val="24"/>
        </w:rPr>
      </w:pPr>
      <w:r>
        <w:rPr>
          <w:rFonts w:hint="eastAsia" w:ascii="Times New Roman" w:hAnsi="Times New Roman"/>
          <w:sz w:val="24"/>
          <w:szCs w:val="24"/>
        </w:rPr>
        <w:t>6.5.10 桥机安装完毕后，中标人应按批准后的安装方案中试运转大纲实施试运转。 试运转内容包括试运转前的检查，空载试验，静、动负荷试验等，各项试验应符合供货商 技术文件及 GB50278 的规定。试运转结束后，应全面检查各构件机械连接、焊接质量及各 部位螺栓紧固情况，现场试运转报告及其检测成果和记录应报送监理人。 试运转报告经监检机构签字后作为完工验收的资料。</w:t>
      </w:r>
    </w:p>
    <w:p w14:paraId="013ABEFF">
      <w:pPr>
        <w:spacing w:line="360" w:lineRule="auto"/>
        <w:ind w:firstLine="482" w:firstLineChars="200"/>
        <w:rPr>
          <w:rFonts w:ascii="Times New Roman" w:hAnsi="Times New Roman"/>
          <w:b/>
          <w:bCs/>
          <w:sz w:val="24"/>
          <w:szCs w:val="24"/>
        </w:rPr>
      </w:pPr>
      <w:r>
        <w:rPr>
          <w:rFonts w:hint="eastAsia" w:ascii="Times New Roman" w:hAnsi="Times New Roman"/>
          <w:b/>
          <w:bCs/>
          <w:sz w:val="24"/>
          <w:szCs w:val="24"/>
        </w:rPr>
        <w:t>7.质量和验收</w:t>
      </w:r>
    </w:p>
    <w:p w14:paraId="25F95B04">
      <w:pPr>
        <w:spacing w:line="360" w:lineRule="auto"/>
        <w:ind w:firstLine="480" w:firstLineChars="200"/>
        <w:rPr>
          <w:rFonts w:ascii="Times New Roman" w:hAnsi="Times New Roman"/>
          <w:b/>
          <w:bCs/>
          <w:sz w:val="24"/>
          <w:szCs w:val="24"/>
        </w:rPr>
      </w:pPr>
      <w:r>
        <w:rPr>
          <w:rFonts w:hint="eastAsia" w:ascii="Times New Roman" w:hAnsi="Times New Roman"/>
          <w:sz w:val="24"/>
          <w:szCs w:val="24"/>
        </w:rPr>
        <w:t>7</w:t>
      </w:r>
      <w:r>
        <w:rPr>
          <w:rFonts w:ascii="Times New Roman" w:hAnsi="Times New Roman"/>
          <w:sz w:val="24"/>
          <w:szCs w:val="24"/>
        </w:rPr>
        <w:t xml:space="preserve">.1 </w:t>
      </w:r>
      <w:r>
        <w:rPr>
          <w:rFonts w:hint="eastAsia" w:ascii="Times New Roman" w:hAnsi="Times New Roman"/>
          <w:b/>
          <w:bCs/>
          <w:sz w:val="24"/>
          <w:szCs w:val="24"/>
        </w:rPr>
        <w:t xml:space="preserve">工厂制造质量和验收 </w:t>
      </w:r>
    </w:p>
    <w:p w14:paraId="791DCD84">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1.工厂检验项目（不限于）： </w:t>
      </w:r>
    </w:p>
    <w:p w14:paraId="35D1CEC1">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（1）起重机零部件的几何尺寸、形位公差、表面粗糙度检查。 </w:t>
      </w:r>
    </w:p>
    <w:p w14:paraId="00D4C184">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（2）起重机主要部件，如主梁、主钩、主传动轴等及各铸件的无损探伤检查。 </w:t>
      </w:r>
    </w:p>
    <w:p w14:paraId="0EBF5499">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（3）起重机各焊接件的焊缝探伤检查。 </w:t>
      </w:r>
    </w:p>
    <w:p w14:paraId="0BBB762B">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（4）起重机各零部件的装配检查。 </w:t>
      </w:r>
    </w:p>
    <w:p w14:paraId="00C23993">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（5）起重机总的预装配。 </w:t>
      </w:r>
    </w:p>
    <w:p w14:paraId="0572D68A">
      <w:pPr>
        <w:spacing w:line="360" w:lineRule="auto"/>
        <w:ind w:firstLine="480" w:firstLineChars="200"/>
        <w:rPr>
          <w:rFonts w:ascii="Times New Roman" w:hAnsi="Times New Roman"/>
          <w:sz w:val="24"/>
          <w:szCs w:val="24"/>
        </w:rPr>
      </w:pPr>
      <w:r>
        <w:rPr>
          <w:rFonts w:hint="eastAsia" w:ascii="Times New Roman" w:hAnsi="Times New Roman"/>
          <w:sz w:val="24"/>
          <w:szCs w:val="24"/>
        </w:rPr>
        <w:t>（6）起重机电动机主要性能、技术参数的检验。 工厂上述检验，应向发包人报送检验记录抄件。</w:t>
      </w:r>
    </w:p>
    <w:p w14:paraId="2B7833E0">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 2</w:t>
      </w:r>
      <w:r>
        <w:rPr>
          <w:rFonts w:hint="eastAsia" w:ascii="Times New Roman" w:hAnsi="Times New Roman"/>
          <w:b/>
          <w:bCs/>
          <w:sz w:val="24"/>
          <w:szCs w:val="24"/>
        </w:rPr>
        <w:t>.发包人厂内检验</w:t>
      </w:r>
    </w:p>
    <w:p w14:paraId="0FDD7151">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 （1）发包人有权检查工厂所有检验和装配。 </w:t>
      </w:r>
    </w:p>
    <w:p w14:paraId="23C9D227">
      <w:pPr>
        <w:spacing w:line="360" w:lineRule="auto"/>
        <w:ind w:firstLine="480" w:firstLineChars="200"/>
        <w:rPr>
          <w:rFonts w:ascii="Times New Roman" w:hAnsi="Times New Roman"/>
          <w:sz w:val="24"/>
          <w:szCs w:val="24"/>
        </w:rPr>
      </w:pPr>
      <w:r>
        <w:rPr>
          <w:rFonts w:hint="eastAsia" w:ascii="Times New Roman" w:hAnsi="Times New Roman"/>
          <w:sz w:val="24"/>
          <w:szCs w:val="24"/>
        </w:rPr>
        <w:t>（2）中标人应提前 10 天通知发包人到厂内进行规定项目的检验。</w:t>
      </w:r>
    </w:p>
    <w:p w14:paraId="1535E263">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 （3）正常情况下，发包人共进行两次厂内检验： 第一次：大梁预组装 第二次：出厂检验 </w:t>
      </w:r>
    </w:p>
    <w:p w14:paraId="77FDF672">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（4）只有经过发包人厂内检验合格和监检机构颁发《起重机械制造监督检验证书》 后，起重机方可出厂。 </w:t>
      </w:r>
    </w:p>
    <w:p w14:paraId="4F7372FF">
      <w:pPr>
        <w:spacing w:line="360" w:lineRule="auto"/>
        <w:ind w:firstLine="480" w:firstLineChars="200"/>
        <w:rPr>
          <w:rFonts w:ascii="Times New Roman" w:hAnsi="Times New Roman"/>
          <w:b/>
          <w:bCs/>
          <w:sz w:val="24"/>
          <w:szCs w:val="24"/>
        </w:rPr>
      </w:pPr>
      <w:r>
        <w:rPr>
          <w:rFonts w:hint="eastAsia" w:ascii="Times New Roman" w:hAnsi="Times New Roman"/>
          <w:sz w:val="24"/>
          <w:szCs w:val="24"/>
        </w:rPr>
        <w:t>7</w:t>
      </w:r>
      <w:r>
        <w:rPr>
          <w:rFonts w:ascii="Times New Roman" w:hAnsi="Times New Roman"/>
          <w:sz w:val="24"/>
          <w:szCs w:val="24"/>
        </w:rPr>
        <w:t xml:space="preserve">.2 </w:t>
      </w:r>
      <w:r>
        <w:rPr>
          <w:rFonts w:hint="eastAsia" w:ascii="Times New Roman" w:hAnsi="Times New Roman"/>
          <w:b/>
          <w:bCs/>
          <w:sz w:val="24"/>
          <w:szCs w:val="24"/>
        </w:rPr>
        <w:t>安装质量和验收</w:t>
      </w:r>
    </w:p>
    <w:p w14:paraId="6FAEE8D8">
      <w:pPr>
        <w:spacing w:line="360" w:lineRule="auto"/>
        <w:ind w:firstLine="480" w:firstLineChars="200"/>
        <w:rPr>
          <w:rFonts w:ascii="Times New Roman" w:hAnsi="Times New Roman"/>
          <w:sz w:val="24"/>
          <w:szCs w:val="24"/>
        </w:rPr>
      </w:pPr>
      <w:r>
        <w:rPr>
          <w:rFonts w:hint="eastAsia" w:ascii="Times New Roman" w:hAnsi="Times New Roman"/>
          <w:sz w:val="24"/>
          <w:szCs w:val="24"/>
        </w:rPr>
        <w:t>1. 起重机轨道及车挡基础地脚螺栓等埋件安装就位并固定后，应在混凝土浇筑前，对 埋件的安装位置和尺寸进行测量检查，经监理人确认合格后，才能进行混凝土浇筑，测量记录应提交监理人；混凝土浇筑后，应重新对埋件的安装位置和尺寸进行复测检查，若经 检查发现埋件的安装质量不合格时，应按监理人的指示进行返工处理，其处理的措施和方 法应经监理人批准。</w:t>
      </w:r>
    </w:p>
    <w:p w14:paraId="23778970">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 2.在起重机本体、轨道、车挡及滑触线安装、试运转过程中，中标人应会同监理人及 监检机构按本章规定的安装技术要求，对安装质量进行检查和质量评定，并作好记录。安装质量评定记录经监理人签认后，作为本合同各项目验收的资料。 3.起重机安装工程验收时，应具备下列资料： </w:t>
      </w:r>
    </w:p>
    <w:p w14:paraId="54317958">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（1）竣工图纸（其中包括总装图、电气原理图、电气安装图）及使用说明书； </w:t>
      </w:r>
    </w:p>
    <w:p w14:paraId="22A77C4D">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（2）设计变更和修改等有关资料； </w:t>
      </w:r>
    </w:p>
    <w:p w14:paraId="6D0A53BD">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（3）重要部位的焊接、高强螺栓连接的检验记录； </w:t>
      </w:r>
    </w:p>
    <w:p w14:paraId="4C52421F">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（4）起重机有关的几何尺寸复查和安装检查记录； </w:t>
      </w:r>
    </w:p>
    <w:p w14:paraId="1515B766">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（5）轨道安装施工质量检查记录； </w:t>
      </w:r>
    </w:p>
    <w:p w14:paraId="07C3371F">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（6）起重机试运转和试验记录； </w:t>
      </w:r>
    </w:p>
    <w:p w14:paraId="587A48D4">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（7）工程质量评定资料； </w:t>
      </w:r>
    </w:p>
    <w:p w14:paraId="21106F67">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（8）起重机械制造监督检验证书 </w:t>
      </w:r>
    </w:p>
    <w:p w14:paraId="60F58D9F">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（9）安全检验合格证书 </w:t>
      </w:r>
    </w:p>
    <w:p w14:paraId="0A801A68">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（10）特种设备安装安全质量监督检验证书 </w:t>
      </w:r>
    </w:p>
    <w:p w14:paraId="34457F78">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（11）桥式起重机验收检验报告 </w:t>
      </w:r>
    </w:p>
    <w:p w14:paraId="6ECC3ABA">
      <w:pPr>
        <w:spacing w:line="360" w:lineRule="auto"/>
        <w:ind w:firstLine="480" w:firstLineChars="200"/>
        <w:rPr>
          <w:rFonts w:ascii="Times New Roman" w:hAnsi="Times New Roman"/>
          <w:sz w:val="24"/>
          <w:szCs w:val="24"/>
        </w:rPr>
      </w:pPr>
      <w:r>
        <w:rPr>
          <w:rFonts w:hint="eastAsia" w:ascii="Times New Roman" w:hAnsi="Times New Roman"/>
          <w:sz w:val="24"/>
          <w:szCs w:val="24"/>
        </w:rPr>
        <w:t>（12）其他有关资料。</w:t>
      </w:r>
    </w:p>
    <w:p w14:paraId="4873EF44">
      <w:pPr>
        <w:pStyle w:val="26"/>
        <w:spacing w:line="360" w:lineRule="auto"/>
        <w:ind w:left="40" w:firstLineChars="0"/>
        <w:rPr>
          <w:b/>
          <w:bCs/>
          <w:sz w:val="24"/>
        </w:rPr>
      </w:pPr>
      <w:r>
        <w:rPr>
          <w:rFonts w:hint="eastAsia"/>
          <w:b/>
          <w:bCs/>
          <w:sz w:val="24"/>
        </w:rPr>
        <w:t>七</w:t>
      </w:r>
      <w:r>
        <w:rPr>
          <w:b/>
          <w:bCs/>
          <w:sz w:val="24"/>
        </w:rPr>
        <w:t>、结算和付款方式</w:t>
      </w:r>
    </w:p>
    <w:p w14:paraId="6AFF3242">
      <w:pPr>
        <w:shd w:val="clear" w:color="auto" w:fill="FFFFFF"/>
        <w:spacing w:line="360" w:lineRule="auto"/>
        <w:ind w:left="40"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w:t>
      </w:r>
      <w:r>
        <w:rPr>
          <w:rFonts w:ascii="Times New Roman" w:hAnsi="Times New Roman"/>
          <w:sz w:val="24"/>
          <w:szCs w:val="24"/>
        </w:rPr>
        <w:t>结算依据</w:t>
      </w:r>
    </w:p>
    <w:p w14:paraId="0796BA9D">
      <w:pPr>
        <w:shd w:val="clear" w:color="auto" w:fill="FFFFFF"/>
        <w:spacing w:line="360" w:lineRule="auto"/>
        <w:ind w:left="40" w:firstLine="480" w:firstLineChars="200"/>
        <w:rPr>
          <w:rFonts w:ascii="Times New Roman" w:hAnsi="Times New Roman"/>
          <w:sz w:val="24"/>
          <w:szCs w:val="24"/>
        </w:rPr>
      </w:pPr>
      <w:r>
        <w:rPr>
          <w:rFonts w:ascii="Times New Roman" w:hAnsi="Times New Roman"/>
          <w:sz w:val="24"/>
          <w:szCs w:val="24"/>
        </w:rPr>
        <w:t>以招标人指派的人员在工地现场经签认的</w:t>
      </w:r>
      <w:r>
        <w:rPr>
          <w:rFonts w:hint="eastAsia" w:ascii="Times New Roman" w:hAnsi="Times New Roman"/>
          <w:sz w:val="24"/>
          <w:szCs w:val="24"/>
        </w:rPr>
        <w:t>桥式起重机</w:t>
      </w:r>
      <w:r>
        <w:rPr>
          <w:rFonts w:ascii="Times New Roman" w:hAnsi="Times New Roman"/>
          <w:sz w:val="24"/>
          <w:szCs w:val="24"/>
        </w:rPr>
        <w:t>送货签收单数量结合相应单价作为结算依据，非有效授权人签署的签收单一律无效。</w:t>
      </w:r>
    </w:p>
    <w:p w14:paraId="21BB2EFB">
      <w:pPr>
        <w:shd w:val="clear" w:color="auto" w:fill="FFFFFF"/>
        <w:spacing w:line="360" w:lineRule="auto"/>
        <w:ind w:left="40"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w:t>
      </w:r>
      <w:r>
        <w:rPr>
          <w:rFonts w:ascii="Times New Roman" w:hAnsi="Times New Roman"/>
          <w:sz w:val="24"/>
          <w:szCs w:val="24"/>
        </w:rPr>
        <w:t>结算方式</w:t>
      </w:r>
      <w:bookmarkStart w:id="5" w:name="_Hlk96449590"/>
    </w:p>
    <w:bookmarkEnd w:id="5"/>
    <w:p w14:paraId="683E6A40">
      <w:pPr>
        <w:shd w:val="clear" w:color="auto" w:fill="FFFFFF"/>
        <w:spacing w:line="360" w:lineRule="auto"/>
        <w:ind w:left="0" w:leftChars="0" w:firstLine="480" w:firstLineChars="200"/>
        <w:rPr>
          <w:rFonts w:ascii="Times New Roman" w:hAnsi="Times New Roman"/>
          <w:sz w:val="24"/>
          <w:szCs w:val="24"/>
        </w:rPr>
      </w:pPr>
      <w:r>
        <w:rPr>
          <w:rFonts w:hint="eastAsia" w:ascii="Times New Roman" w:hAnsi="Times New Roman"/>
          <w:sz w:val="24"/>
          <w:szCs w:val="24"/>
        </w:rPr>
        <w:t>（1）起重机通过到工检验建设单位支付发包人相关费用后30天内，支付至起重机设备费的 45%。</w:t>
      </w:r>
    </w:p>
    <w:p w14:paraId="482B9CE4">
      <w:pPr>
        <w:shd w:val="clear" w:color="auto" w:fill="FFFFFF"/>
        <w:spacing w:line="360" w:lineRule="auto"/>
        <w:ind w:left="0" w:leftChars="0" w:firstLine="480" w:firstLineChars="200"/>
        <w:rPr>
          <w:rFonts w:ascii="Times New Roman" w:hAnsi="Times New Roman"/>
          <w:sz w:val="24"/>
          <w:szCs w:val="24"/>
        </w:rPr>
      </w:pPr>
      <w:r>
        <w:rPr>
          <w:rFonts w:hint="eastAsia" w:ascii="Times New Roman" w:hAnsi="Times New Roman"/>
          <w:sz w:val="24"/>
          <w:szCs w:val="24"/>
        </w:rPr>
        <w:t>（2）在获取桥式起重机验收检验报告后建设单位支付发包人相关费用后30天内，支付至起重机设备费的 80%。</w:t>
      </w:r>
    </w:p>
    <w:p w14:paraId="7FBE1EC7">
      <w:pPr>
        <w:shd w:val="clear" w:color="auto" w:fill="FFFFFF"/>
        <w:spacing w:line="360" w:lineRule="auto"/>
        <w:ind w:left="0" w:leftChars="0" w:firstLine="480" w:firstLineChars="200"/>
        <w:rPr>
          <w:rFonts w:ascii="Times New Roman" w:hAnsi="Times New Roman"/>
          <w:sz w:val="24"/>
          <w:szCs w:val="24"/>
        </w:rPr>
      </w:pPr>
      <w:r>
        <w:rPr>
          <w:rFonts w:hint="eastAsia" w:ascii="Times New Roman" w:hAnsi="Times New Roman"/>
          <w:sz w:val="24"/>
          <w:szCs w:val="24"/>
        </w:rPr>
        <w:t>（3）本节涉及的备品备件、工厂制造质量和验收等费用已包含在各设备报价中，不再另行支付。</w:t>
      </w:r>
    </w:p>
    <w:p w14:paraId="7132DC7B">
      <w:pPr>
        <w:shd w:val="clear" w:color="auto" w:fill="FFFFFF"/>
        <w:spacing w:line="360" w:lineRule="auto"/>
        <w:ind w:firstLine="480" w:firstLineChars="200"/>
        <w:rPr>
          <w:rFonts w:ascii="Times New Roman" w:hAnsi="Times New Roman"/>
          <w:sz w:val="24"/>
          <w:szCs w:val="24"/>
        </w:rPr>
      </w:pPr>
      <w:r>
        <w:rPr>
          <w:rFonts w:hint="eastAsia" w:ascii="Times New Roman" w:hAnsi="Times New Roman"/>
          <w:sz w:val="24"/>
          <w:szCs w:val="24"/>
        </w:rPr>
        <w:t>中标人</w:t>
      </w:r>
      <w:r>
        <w:rPr>
          <w:rFonts w:ascii="Times New Roman" w:hAnsi="Times New Roman"/>
          <w:sz w:val="24"/>
          <w:szCs w:val="24"/>
        </w:rPr>
        <w:t>同时承诺：每个结算期内的所有</w:t>
      </w:r>
      <w:r>
        <w:rPr>
          <w:rFonts w:hint="eastAsia" w:ascii="Times New Roman" w:hAnsi="Times New Roman"/>
          <w:sz w:val="24"/>
          <w:szCs w:val="24"/>
        </w:rPr>
        <w:t>桥式起重机机</w:t>
      </w:r>
      <w:r>
        <w:rPr>
          <w:rFonts w:ascii="Times New Roman" w:hAnsi="Times New Roman"/>
          <w:sz w:val="24"/>
          <w:szCs w:val="24"/>
        </w:rPr>
        <w:t>数量均已结报完毕，无其他争议，所结报的</w:t>
      </w:r>
      <w:r>
        <w:rPr>
          <w:rFonts w:hint="eastAsia" w:ascii="Times New Roman" w:hAnsi="Times New Roman"/>
          <w:sz w:val="24"/>
          <w:szCs w:val="24"/>
        </w:rPr>
        <w:t>桥式起重机</w:t>
      </w:r>
      <w:r>
        <w:rPr>
          <w:rFonts w:ascii="Times New Roman" w:hAnsi="Times New Roman"/>
          <w:sz w:val="24"/>
          <w:szCs w:val="24"/>
        </w:rPr>
        <w:t>数量真实有效。</w:t>
      </w:r>
      <w:r>
        <w:rPr>
          <w:rFonts w:hint="eastAsia" w:ascii="Times New Roman" w:hAnsi="Times New Roman"/>
          <w:sz w:val="24"/>
          <w:szCs w:val="24"/>
        </w:rPr>
        <w:t>过程结算</w:t>
      </w:r>
      <w:r>
        <w:rPr>
          <w:rFonts w:ascii="Times New Roman" w:hAnsi="Times New Roman"/>
          <w:sz w:val="24"/>
          <w:szCs w:val="24"/>
        </w:rPr>
        <w:t>以及最终结算，结算单在双方会签后，报</w:t>
      </w:r>
      <w:r>
        <w:rPr>
          <w:rFonts w:hint="eastAsia" w:ascii="Times New Roman" w:hAnsi="Times New Roman"/>
          <w:sz w:val="24"/>
          <w:szCs w:val="24"/>
        </w:rPr>
        <w:t>招标人的</w:t>
      </w:r>
      <w:r>
        <w:rPr>
          <w:rFonts w:ascii="Times New Roman" w:hAnsi="Times New Roman"/>
          <w:sz w:val="24"/>
          <w:szCs w:val="24"/>
        </w:rPr>
        <w:t>分公司</w:t>
      </w:r>
      <w:r>
        <w:rPr>
          <w:rFonts w:hint="eastAsia" w:ascii="Times New Roman" w:hAnsi="Times New Roman"/>
          <w:sz w:val="24"/>
          <w:szCs w:val="24"/>
        </w:rPr>
        <w:t>指定人员</w:t>
      </w:r>
      <w:r>
        <w:rPr>
          <w:rFonts w:ascii="Times New Roman" w:hAnsi="Times New Roman"/>
          <w:sz w:val="24"/>
          <w:szCs w:val="24"/>
        </w:rPr>
        <w:t>审核并签字后生效；分公司人员在审核有疑义时，可要求双方重新核对，核对一致无争议后重新办理最终结算，该最终结算仍须经分公司审核人员签字确认后生效；如仍有分歧无法解决，双方均可报</w:t>
      </w:r>
      <w:r>
        <w:rPr>
          <w:rFonts w:hint="eastAsia" w:ascii="Times New Roman" w:hAnsi="Times New Roman"/>
          <w:sz w:val="24"/>
          <w:szCs w:val="24"/>
        </w:rPr>
        <w:t>招标人</w:t>
      </w:r>
      <w:r>
        <w:rPr>
          <w:rFonts w:ascii="Times New Roman" w:hAnsi="Times New Roman"/>
          <w:sz w:val="24"/>
          <w:szCs w:val="24"/>
        </w:rPr>
        <w:t>公司财务物资部协调处置，财务物资部须在15个工作日内解决，财务物资部联系电话：0514-87361764，联系人：朱丽。</w:t>
      </w:r>
    </w:p>
    <w:p w14:paraId="31573C77">
      <w:pPr>
        <w:shd w:val="clear" w:color="auto" w:fill="FFFFFF"/>
        <w:spacing w:line="360" w:lineRule="auto"/>
        <w:ind w:left="40" w:firstLine="480" w:firstLineChars="200"/>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w:t>
      </w:r>
      <w:r>
        <w:rPr>
          <w:rFonts w:ascii="Times New Roman" w:hAnsi="Times New Roman"/>
          <w:sz w:val="24"/>
          <w:szCs w:val="24"/>
        </w:rPr>
        <w:t>付款方式</w:t>
      </w:r>
    </w:p>
    <w:p w14:paraId="6DADEBE4">
      <w:pPr>
        <w:shd w:val="clear" w:color="auto" w:fill="FFFFFF"/>
        <w:spacing w:line="360" w:lineRule="auto"/>
        <w:ind w:left="40" w:firstLine="480" w:firstLineChars="200"/>
        <w:rPr>
          <w:rFonts w:ascii="Times New Roman" w:hAnsi="Times New Roman"/>
          <w:sz w:val="24"/>
          <w:szCs w:val="24"/>
        </w:rPr>
      </w:pPr>
      <w:r>
        <w:rPr>
          <w:rFonts w:hint="eastAsia" w:ascii="Times New Roman" w:hAnsi="Times New Roman"/>
          <w:color w:val="000000" w:themeColor="text1"/>
          <w:sz w:val="24"/>
          <w:szCs w:val="24"/>
        </w:rPr>
        <w:t>本次采购签订合同后可支付中标人</w:t>
      </w:r>
      <w:r>
        <w:rPr>
          <w:rFonts w:hint="eastAsia" w:ascii="Times New Roman" w:hAnsi="Times New Roman"/>
          <w:color w:val="000000" w:themeColor="text1"/>
          <w:sz w:val="24"/>
          <w:szCs w:val="24"/>
          <w:lang w:val="en-US" w:eastAsia="zh-CN"/>
        </w:rPr>
        <w:t>2</w:t>
      </w:r>
      <w:r>
        <w:rPr>
          <w:rFonts w:hint="eastAsia" w:ascii="Times New Roman" w:hAnsi="Times New Roman"/>
          <w:color w:val="000000" w:themeColor="text1"/>
          <w:sz w:val="24"/>
          <w:szCs w:val="24"/>
        </w:rPr>
        <w:t>0%的预付款，但中标人必须提供相等金额的预付款担保</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b/>
          <w:bCs/>
          <w:color w:val="0000FF"/>
          <w:sz w:val="24"/>
          <w:szCs w:val="24"/>
        </w:rPr>
        <w:t>必须是甲方认可的银行保函，不接受保险保函</w:t>
      </w:r>
      <w:r>
        <w:rPr>
          <w:rFonts w:hint="eastAsia" w:asciiTheme="minorEastAsia" w:hAnsiTheme="minorEastAsia" w:eastAsiaTheme="minorEastAsia"/>
          <w:b/>
          <w:bCs/>
          <w:color w:val="0000FF"/>
          <w:sz w:val="24"/>
          <w:szCs w:val="24"/>
          <w:lang w:val="en-US" w:eastAsia="zh-CN"/>
        </w:rPr>
        <w:t>和</w:t>
      </w:r>
      <w:r>
        <w:rPr>
          <w:rFonts w:hint="eastAsia" w:asciiTheme="minorEastAsia" w:hAnsiTheme="minorEastAsia" w:eastAsiaTheme="minorEastAsia"/>
          <w:b/>
          <w:bCs/>
          <w:color w:val="0000FF"/>
          <w:sz w:val="24"/>
          <w:szCs w:val="24"/>
        </w:rPr>
        <w:t>其他形式的担保</w:t>
      </w:r>
      <w:r>
        <w:rPr>
          <w:rFonts w:hint="eastAsia" w:asciiTheme="minorEastAsia" w:hAnsiTheme="minorEastAsia" w:eastAsiaTheme="minorEastAsia"/>
          <w:color w:val="000000" w:themeColor="text1"/>
          <w:sz w:val="24"/>
          <w:szCs w:val="24"/>
        </w:rPr>
        <w:t>）</w:t>
      </w:r>
      <w:r>
        <w:rPr>
          <w:rFonts w:hint="eastAsia" w:ascii="Times New Roman" w:hAnsi="Times New Roman"/>
          <w:color w:val="000000" w:themeColor="text1"/>
          <w:sz w:val="24"/>
          <w:szCs w:val="24"/>
        </w:rPr>
        <w:t>，中标人无法提供担保可放弃预付款，起重机通过到工检验后支付至起重机设备费的45%，</w:t>
      </w:r>
      <w:r>
        <w:rPr>
          <w:rFonts w:hint="eastAsia" w:ascii="Times New Roman" w:hAnsi="Times New Roman"/>
          <w:sz w:val="24"/>
          <w:szCs w:val="24"/>
        </w:rPr>
        <w:t>在获取桥式起重机验收检验报告后建设单位支付发包人相关费用后30天内，支付至起重机设备费的80%，</w:t>
      </w:r>
      <w:r>
        <w:rPr>
          <w:rFonts w:hint="eastAsia" w:ascii="Times New Roman" w:hAnsi="Times New Roman"/>
          <w:color w:val="000000" w:themeColor="text1"/>
          <w:sz w:val="24"/>
          <w:szCs w:val="24"/>
        </w:rPr>
        <w:t>双方办理结算手续，供货方同时提供已结算货款等额的税率为13%的增值税专用发票、质量证明书等资料；余款20%在最终结算办理之后两年内付清。支付款项前，供</w:t>
      </w:r>
      <w:r>
        <w:rPr>
          <w:rFonts w:hint="eastAsia" w:ascii="Times New Roman" w:hAnsi="Times New Roman"/>
          <w:sz w:val="24"/>
          <w:szCs w:val="24"/>
        </w:rPr>
        <w:t>货方须按付款额开具并加盖财务专用章的收款收据。</w:t>
      </w:r>
    </w:p>
    <w:p w14:paraId="3C852B5E">
      <w:pPr>
        <w:adjustRightInd w:val="0"/>
        <w:snapToGrid w:val="0"/>
        <w:spacing w:line="360" w:lineRule="auto"/>
        <w:ind w:left="40" w:firstLine="482" w:firstLineChars="200"/>
        <w:rPr>
          <w:rFonts w:ascii="Times New Roman" w:hAnsi="Times New Roman"/>
          <w:b/>
          <w:sz w:val="24"/>
          <w:szCs w:val="24"/>
        </w:rPr>
      </w:pPr>
      <w:r>
        <w:rPr>
          <w:rFonts w:hint="eastAsia" w:ascii="Times New Roman" w:hAnsi="Times New Roman"/>
          <w:b/>
          <w:sz w:val="24"/>
          <w:szCs w:val="24"/>
        </w:rPr>
        <w:t>八</w:t>
      </w:r>
      <w:r>
        <w:rPr>
          <w:rFonts w:ascii="Times New Roman" w:hAnsi="Times New Roman"/>
          <w:b/>
          <w:sz w:val="24"/>
          <w:szCs w:val="24"/>
        </w:rPr>
        <w:t>、招标文件的澄清</w:t>
      </w:r>
    </w:p>
    <w:p w14:paraId="6B0B971F">
      <w:pPr>
        <w:shd w:val="clear" w:color="auto" w:fill="FFFFFF"/>
        <w:spacing w:line="360" w:lineRule="auto"/>
        <w:ind w:left="40" w:firstLine="480" w:firstLineChars="200"/>
        <w:rPr>
          <w:rFonts w:ascii="Times New Roman" w:hAnsi="Times New Roman"/>
          <w:sz w:val="24"/>
          <w:szCs w:val="24"/>
        </w:rPr>
      </w:pPr>
      <w:r>
        <w:rPr>
          <w:rFonts w:ascii="Times New Roman" w:hAnsi="Times New Roman"/>
          <w:sz w:val="24"/>
          <w:szCs w:val="24"/>
        </w:rPr>
        <w:t>对招标文件的任何疑问均可向招标单位联系人电话方式澄清。招标人单方自行澄清的，将以书面形式发出，并构成招标文件的一部分。</w:t>
      </w:r>
    </w:p>
    <w:p w14:paraId="559A788A">
      <w:pPr>
        <w:adjustRightInd w:val="0"/>
        <w:snapToGrid w:val="0"/>
        <w:spacing w:line="360" w:lineRule="auto"/>
        <w:ind w:left="40" w:firstLine="482" w:firstLineChars="200"/>
        <w:rPr>
          <w:rFonts w:ascii="Times New Roman" w:hAnsi="Times New Roman"/>
          <w:b/>
          <w:sz w:val="24"/>
          <w:szCs w:val="24"/>
        </w:rPr>
      </w:pPr>
      <w:r>
        <w:rPr>
          <w:rFonts w:hint="eastAsia" w:ascii="Times New Roman" w:hAnsi="Times New Roman"/>
          <w:b/>
          <w:sz w:val="24"/>
          <w:szCs w:val="24"/>
        </w:rPr>
        <w:t>九</w:t>
      </w:r>
      <w:r>
        <w:rPr>
          <w:rFonts w:ascii="Times New Roman" w:hAnsi="Times New Roman"/>
          <w:b/>
          <w:sz w:val="24"/>
          <w:szCs w:val="24"/>
        </w:rPr>
        <w:t>、投标文件的编制</w:t>
      </w:r>
    </w:p>
    <w:p w14:paraId="72C8E9CA">
      <w:pPr>
        <w:adjustRightInd w:val="0"/>
        <w:snapToGrid w:val="0"/>
        <w:spacing w:line="360" w:lineRule="auto"/>
        <w:ind w:left="40" w:firstLine="480" w:firstLineChars="200"/>
        <w:rPr>
          <w:rFonts w:ascii="Times New Roman" w:hAnsi="Times New Roman"/>
          <w:sz w:val="24"/>
          <w:szCs w:val="24"/>
        </w:rPr>
      </w:pPr>
      <w:r>
        <w:rPr>
          <w:rFonts w:ascii="Times New Roman" w:hAnsi="Times New Roman"/>
          <w:sz w:val="24"/>
          <w:szCs w:val="24"/>
        </w:rPr>
        <w:t>1、投标文件使用的质量、技术等规范应符合国家有关标准。</w:t>
      </w:r>
    </w:p>
    <w:p w14:paraId="6239E4DA">
      <w:pPr>
        <w:adjustRightInd w:val="0"/>
        <w:snapToGrid w:val="0"/>
        <w:spacing w:line="360" w:lineRule="auto"/>
        <w:ind w:left="40" w:firstLine="480" w:firstLineChars="200"/>
        <w:rPr>
          <w:rFonts w:ascii="Times New Roman" w:hAnsi="Times New Roman"/>
          <w:sz w:val="24"/>
          <w:szCs w:val="24"/>
        </w:rPr>
      </w:pPr>
      <w:r>
        <w:rPr>
          <w:rFonts w:ascii="Times New Roman" w:hAnsi="Times New Roman"/>
          <w:sz w:val="24"/>
          <w:szCs w:val="24"/>
        </w:rPr>
        <w:t>2、除工程规范另有规定外，投标文件使用的度量单位，均采用法定计量单位。</w:t>
      </w:r>
    </w:p>
    <w:p w14:paraId="6D72CC45">
      <w:pPr>
        <w:adjustRightInd w:val="0"/>
        <w:snapToGrid w:val="0"/>
        <w:spacing w:line="360" w:lineRule="auto"/>
        <w:ind w:left="40" w:firstLine="482" w:firstLineChars="200"/>
        <w:rPr>
          <w:rFonts w:ascii="Times New Roman" w:hAnsi="Times New Roman"/>
          <w:b/>
          <w:sz w:val="24"/>
          <w:szCs w:val="24"/>
        </w:rPr>
      </w:pPr>
      <w:r>
        <w:rPr>
          <w:rFonts w:hint="eastAsia" w:ascii="Times New Roman" w:hAnsi="Times New Roman"/>
          <w:b/>
          <w:sz w:val="24"/>
          <w:szCs w:val="24"/>
        </w:rPr>
        <w:t>十</w:t>
      </w:r>
      <w:r>
        <w:rPr>
          <w:rFonts w:ascii="Times New Roman" w:hAnsi="Times New Roman"/>
          <w:b/>
          <w:sz w:val="24"/>
          <w:szCs w:val="24"/>
        </w:rPr>
        <w:t>、投标文件组成</w:t>
      </w:r>
    </w:p>
    <w:p w14:paraId="128382EB">
      <w:pPr>
        <w:adjustRightInd w:val="0"/>
        <w:snapToGrid w:val="0"/>
        <w:spacing w:line="360" w:lineRule="auto"/>
        <w:ind w:left="40" w:firstLine="480" w:firstLineChars="200"/>
        <w:rPr>
          <w:rFonts w:ascii="Times New Roman" w:hAnsi="Times New Roman"/>
          <w:sz w:val="24"/>
          <w:szCs w:val="24"/>
        </w:rPr>
      </w:pPr>
      <w:r>
        <w:rPr>
          <w:rFonts w:ascii="Times New Roman" w:hAnsi="Times New Roman"/>
          <w:sz w:val="24"/>
          <w:szCs w:val="24"/>
        </w:rPr>
        <w:t>1、投标文件封面（附件1）</w:t>
      </w:r>
    </w:p>
    <w:p w14:paraId="1667EAEB">
      <w:pPr>
        <w:adjustRightInd w:val="0"/>
        <w:snapToGrid w:val="0"/>
        <w:spacing w:line="360" w:lineRule="auto"/>
        <w:ind w:left="40" w:firstLine="480" w:firstLineChars="200"/>
        <w:rPr>
          <w:rFonts w:ascii="Times New Roman" w:hAnsi="Times New Roman"/>
          <w:sz w:val="24"/>
          <w:szCs w:val="24"/>
        </w:rPr>
      </w:pPr>
      <w:r>
        <w:rPr>
          <w:rFonts w:ascii="Times New Roman" w:hAnsi="Times New Roman"/>
          <w:sz w:val="24"/>
          <w:szCs w:val="24"/>
        </w:rPr>
        <w:t>2、投标</w:t>
      </w:r>
      <w:r>
        <w:rPr>
          <w:rFonts w:hint="eastAsia" w:ascii="Times New Roman" w:hAnsi="Times New Roman"/>
          <w:sz w:val="24"/>
          <w:szCs w:val="24"/>
        </w:rPr>
        <w:t>承诺</w:t>
      </w:r>
      <w:r>
        <w:rPr>
          <w:rFonts w:ascii="Times New Roman" w:hAnsi="Times New Roman"/>
          <w:sz w:val="24"/>
          <w:szCs w:val="24"/>
        </w:rPr>
        <w:t>函（附件2）</w:t>
      </w:r>
    </w:p>
    <w:p w14:paraId="48E7EE3E">
      <w:pPr>
        <w:adjustRightInd w:val="0"/>
        <w:snapToGrid w:val="0"/>
        <w:spacing w:line="360" w:lineRule="auto"/>
        <w:ind w:left="40" w:firstLine="480" w:firstLineChars="200"/>
        <w:rPr>
          <w:rFonts w:ascii="Times New Roman" w:hAnsi="Times New Roman"/>
          <w:sz w:val="24"/>
          <w:szCs w:val="24"/>
        </w:rPr>
      </w:pPr>
      <w:r>
        <w:rPr>
          <w:rFonts w:ascii="Times New Roman" w:hAnsi="Times New Roman"/>
          <w:sz w:val="24"/>
          <w:szCs w:val="24"/>
        </w:rPr>
        <w:t>3、投标报价</w:t>
      </w:r>
      <w:r>
        <w:rPr>
          <w:rFonts w:hint="eastAsia" w:ascii="Times New Roman" w:hAnsi="Times New Roman"/>
          <w:sz w:val="24"/>
          <w:szCs w:val="24"/>
        </w:rPr>
        <w:t>单</w:t>
      </w:r>
      <w:r>
        <w:rPr>
          <w:rFonts w:ascii="Times New Roman" w:hAnsi="Times New Roman"/>
          <w:sz w:val="24"/>
          <w:szCs w:val="24"/>
        </w:rPr>
        <w:t>（见附件3）</w:t>
      </w:r>
    </w:p>
    <w:p w14:paraId="7CF371AC">
      <w:pPr>
        <w:adjustRightInd w:val="0"/>
        <w:snapToGrid w:val="0"/>
        <w:spacing w:line="360" w:lineRule="auto"/>
        <w:ind w:left="40" w:firstLine="480" w:firstLineChars="200"/>
        <w:rPr>
          <w:rFonts w:ascii="Times New Roman" w:hAnsi="Times New Roman"/>
          <w:sz w:val="24"/>
          <w:szCs w:val="24"/>
        </w:rPr>
      </w:pPr>
      <w:r>
        <w:rPr>
          <w:rFonts w:ascii="Times New Roman" w:hAnsi="Times New Roman"/>
          <w:sz w:val="24"/>
          <w:szCs w:val="24"/>
        </w:rPr>
        <w:t>4、投标单位法定代表人身份证明书（见附件4）</w:t>
      </w:r>
    </w:p>
    <w:p w14:paraId="630BF730">
      <w:pPr>
        <w:adjustRightInd w:val="0"/>
        <w:snapToGrid w:val="0"/>
        <w:spacing w:line="360" w:lineRule="auto"/>
        <w:ind w:left="40" w:firstLine="480" w:firstLineChars="200"/>
        <w:rPr>
          <w:rFonts w:ascii="Times New Roman" w:hAnsi="Times New Roman"/>
          <w:sz w:val="24"/>
          <w:szCs w:val="24"/>
        </w:rPr>
      </w:pPr>
      <w:r>
        <w:rPr>
          <w:rFonts w:ascii="Times New Roman" w:hAnsi="Times New Roman"/>
          <w:sz w:val="24"/>
          <w:szCs w:val="24"/>
        </w:rPr>
        <w:t>5、授权委托书（附件5）</w:t>
      </w:r>
    </w:p>
    <w:p w14:paraId="1C9234B9">
      <w:pPr>
        <w:adjustRightInd w:val="0"/>
        <w:snapToGrid w:val="0"/>
        <w:spacing w:line="360" w:lineRule="auto"/>
        <w:ind w:left="40" w:firstLine="480" w:firstLineChars="200"/>
        <w:rPr>
          <w:rFonts w:hint="default" w:ascii="Times New Roman" w:hAnsi="Times New Roman" w:eastAsia="宋体"/>
          <w:color w:val="0000FF"/>
          <w:sz w:val="24"/>
          <w:szCs w:val="24"/>
          <w:lang w:val="en-US" w:eastAsia="zh-CN"/>
        </w:rPr>
      </w:pPr>
      <w:r>
        <w:rPr>
          <w:rFonts w:hint="eastAsia" w:ascii="Times New Roman" w:hAnsi="Times New Roman"/>
          <w:sz w:val="24"/>
          <w:szCs w:val="24"/>
        </w:rPr>
        <w:t>6</w:t>
      </w:r>
      <w:r>
        <w:rPr>
          <w:rFonts w:ascii="Times New Roman" w:hAnsi="Times New Roman"/>
          <w:sz w:val="24"/>
          <w:szCs w:val="24"/>
        </w:rPr>
        <w:t>、</w:t>
      </w:r>
      <w:r>
        <w:rPr>
          <w:rFonts w:hint="eastAsia" w:ascii="Times New Roman" w:hAnsi="Times New Roman"/>
          <w:sz w:val="24"/>
          <w:szCs w:val="24"/>
          <w:lang w:val="en-US" w:eastAsia="zh-CN"/>
        </w:rPr>
        <w:t>投标人营业执照、资信证书</w:t>
      </w:r>
      <w:r>
        <w:rPr>
          <w:rFonts w:ascii="Times New Roman" w:hAnsi="Times New Roman"/>
          <w:sz w:val="24"/>
          <w:szCs w:val="24"/>
        </w:rPr>
        <w:t>（附件</w:t>
      </w:r>
      <w:r>
        <w:rPr>
          <w:rFonts w:hint="eastAsia" w:ascii="Times New Roman" w:hAnsi="Times New Roman"/>
          <w:sz w:val="24"/>
          <w:szCs w:val="24"/>
          <w:lang w:val="en-US" w:eastAsia="zh-CN"/>
        </w:rPr>
        <w:t>6</w:t>
      </w:r>
      <w:r>
        <w:rPr>
          <w:rFonts w:ascii="Times New Roman" w:hAnsi="Times New Roman"/>
          <w:sz w:val="24"/>
          <w:szCs w:val="24"/>
        </w:rPr>
        <w:t>）</w:t>
      </w:r>
    </w:p>
    <w:p w14:paraId="7C1DDBB9">
      <w:pPr>
        <w:adjustRightInd w:val="0"/>
        <w:snapToGrid w:val="0"/>
        <w:spacing w:line="360" w:lineRule="auto"/>
        <w:ind w:left="40" w:firstLine="480" w:firstLineChars="200"/>
        <w:rPr>
          <w:rFonts w:ascii="Times New Roman" w:hAnsi="Times New Roman"/>
          <w:sz w:val="24"/>
          <w:szCs w:val="24"/>
        </w:rPr>
      </w:pPr>
      <w:r>
        <w:rPr>
          <w:rFonts w:hint="eastAsia" w:ascii="Times New Roman" w:hAnsi="Times New Roman"/>
          <w:sz w:val="24"/>
          <w:szCs w:val="24"/>
        </w:rPr>
        <w:t>7</w:t>
      </w:r>
      <w:r>
        <w:rPr>
          <w:rFonts w:ascii="Times New Roman" w:hAnsi="Times New Roman"/>
          <w:sz w:val="24"/>
          <w:szCs w:val="24"/>
        </w:rPr>
        <w:t>、</w:t>
      </w:r>
      <w:r>
        <w:rPr>
          <w:rFonts w:hint="eastAsia" w:ascii="Times New Roman" w:hAnsi="Times New Roman"/>
          <w:sz w:val="24"/>
          <w:szCs w:val="24"/>
        </w:rPr>
        <w:t>桥式起重机</w:t>
      </w:r>
      <w:r>
        <w:rPr>
          <w:rFonts w:ascii="Times New Roman" w:hAnsi="Times New Roman"/>
          <w:sz w:val="24"/>
          <w:szCs w:val="24"/>
        </w:rPr>
        <w:t>厂家营业执照、资质证书（附件</w:t>
      </w:r>
      <w:r>
        <w:rPr>
          <w:rFonts w:hint="eastAsia" w:ascii="Times New Roman" w:hAnsi="Times New Roman"/>
          <w:sz w:val="24"/>
          <w:szCs w:val="24"/>
          <w:lang w:val="en-US" w:eastAsia="zh-CN"/>
        </w:rPr>
        <w:t>7</w:t>
      </w:r>
      <w:r>
        <w:rPr>
          <w:rFonts w:ascii="Times New Roman" w:hAnsi="Times New Roman"/>
          <w:sz w:val="24"/>
          <w:szCs w:val="24"/>
        </w:rPr>
        <w:t>）</w:t>
      </w:r>
    </w:p>
    <w:p w14:paraId="26265735">
      <w:pPr>
        <w:adjustRightInd w:val="0"/>
        <w:snapToGrid w:val="0"/>
        <w:spacing w:line="360" w:lineRule="auto"/>
        <w:ind w:left="40" w:firstLine="480" w:firstLineChars="200"/>
        <w:rPr>
          <w:rFonts w:ascii="Times New Roman" w:hAnsi="Times New Roman"/>
          <w:sz w:val="24"/>
          <w:szCs w:val="24"/>
        </w:rPr>
      </w:pPr>
      <w:r>
        <w:rPr>
          <w:rFonts w:hint="eastAsia" w:ascii="Times New Roman" w:hAnsi="Times New Roman"/>
          <w:sz w:val="24"/>
          <w:szCs w:val="24"/>
          <w:lang w:val="en-US" w:eastAsia="zh-CN"/>
        </w:rPr>
        <w:t>8</w:t>
      </w:r>
      <w:r>
        <w:rPr>
          <w:rFonts w:ascii="Times New Roman" w:hAnsi="Times New Roman"/>
          <w:sz w:val="24"/>
          <w:szCs w:val="24"/>
        </w:rPr>
        <w:t>、投标保证金（汇款凭证）（附件</w:t>
      </w:r>
      <w:r>
        <w:rPr>
          <w:rFonts w:hint="eastAsia" w:ascii="Times New Roman" w:hAnsi="Times New Roman"/>
          <w:sz w:val="24"/>
          <w:szCs w:val="24"/>
          <w:lang w:val="en-US" w:eastAsia="zh-CN"/>
        </w:rPr>
        <w:t>8</w:t>
      </w:r>
      <w:r>
        <w:rPr>
          <w:rFonts w:ascii="Times New Roman" w:hAnsi="Times New Roman"/>
          <w:sz w:val="24"/>
          <w:szCs w:val="24"/>
        </w:rPr>
        <w:t>）</w:t>
      </w:r>
    </w:p>
    <w:p w14:paraId="443826F7">
      <w:pPr>
        <w:adjustRightInd w:val="0"/>
        <w:snapToGrid w:val="0"/>
        <w:spacing w:line="360" w:lineRule="auto"/>
        <w:ind w:left="40" w:firstLine="482" w:firstLineChars="200"/>
        <w:rPr>
          <w:rFonts w:ascii="Times New Roman" w:hAnsi="Times New Roman"/>
          <w:b/>
          <w:sz w:val="24"/>
          <w:szCs w:val="24"/>
        </w:rPr>
      </w:pPr>
      <w:r>
        <w:rPr>
          <w:rFonts w:ascii="Times New Roman" w:hAnsi="Times New Roman"/>
          <w:b/>
          <w:sz w:val="24"/>
          <w:szCs w:val="24"/>
        </w:rPr>
        <w:t>十</w:t>
      </w:r>
      <w:r>
        <w:rPr>
          <w:rFonts w:hint="eastAsia" w:ascii="Times New Roman" w:hAnsi="Times New Roman"/>
          <w:b/>
          <w:sz w:val="24"/>
          <w:szCs w:val="24"/>
        </w:rPr>
        <w:t>一</w:t>
      </w:r>
      <w:r>
        <w:rPr>
          <w:rFonts w:ascii="Times New Roman" w:hAnsi="Times New Roman"/>
          <w:b/>
          <w:sz w:val="24"/>
          <w:szCs w:val="24"/>
        </w:rPr>
        <w:t>、评标方式、标准及方法</w:t>
      </w:r>
    </w:p>
    <w:p w14:paraId="5B0B7092">
      <w:pPr>
        <w:adjustRightInd w:val="0"/>
        <w:snapToGrid w:val="0"/>
        <w:spacing w:line="360" w:lineRule="auto"/>
        <w:ind w:left="40" w:firstLine="480" w:firstLineChars="200"/>
        <w:rPr>
          <w:rFonts w:ascii="Times New Roman" w:hAnsi="Times New Roman"/>
          <w:sz w:val="24"/>
          <w:szCs w:val="24"/>
        </w:rPr>
      </w:pPr>
      <w:r>
        <w:rPr>
          <w:rFonts w:ascii="Times New Roman" w:hAnsi="Times New Roman"/>
          <w:sz w:val="24"/>
          <w:szCs w:val="24"/>
          <w:lang w:eastAsia="zh-Hans"/>
        </w:rPr>
        <w:t>招标人根据投标人的报价，选择</w:t>
      </w:r>
      <w:r>
        <w:rPr>
          <w:rFonts w:hint="eastAsia" w:ascii="Times New Roman" w:hAnsi="Times New Roman"/>
          <w:sz w:val="24"/>
          <w:szCs w:val="24"/>
        </w:rPr>
        <w:t>1～3家报价</w:t>
      </w:r>
      <w:r>
        <w:rPr>
          <w:rFonts w:ascii="Times New Roman" w:hAnsi="Times New Roman"/>
          <w:sz w:val="24"/>
          <w:szCs w:val="24"/>
          <w:lang w:eastAsia="zh-Hans"/>
        </w:rPr>
        <w:t>低的</w:t>
      </w:r>
      <w:r>
        <w:rPr>
          <w:rFonts w:hint="eastAsia" w:ascii="Times New Roman" w:hAnsi="Times New Roman"/>
          <w:sz w:val="24"/>
          <w:szCs w:val="24"/>
        </w:rPr>
        <w:t>单位作为中标候选人。</w:t>
      </w:r>
      <w:r>
        <w:rPr>
          <w:rFonts w:ascii="Times New Roman" w:hAnsi="Times New Roman"/>
          <w:sz w:val="24"/>
          <w:szCs w:val="24"/>
          <w:lang w:eastAsia="zh-Hans"/>
        </w:rPr>
        <w:t>待</w:t>
      </w:r>
      <w:r>
        <w:rPr>
          <w:rFonts w:hint="eastAsia" w:ascii="Times New Roman" w:hAnsi="Times New Roman"/>
          <w:sz w:val="24"/>
          <w:szCs w:val="24"/>
        </w:rPr>
        <w:t>招标人项目部</w:t>
      </w:r>
      <w:r>
        <w:rPr>
          <w:rFonts w:ascii="Times New Roman" w:hAnsi="Times New Roman"/>
          <w:sz w:val="24"/>
          <w:szCs w:val="24"/>
          <w:lang w:eastAsia="zh-Hans"/>
        </w:rPr>
        <w:t>组织</w:t>
      </w:r>
      <w:r>
        <w:rPr>
          <w:rFonts w:hint="eastAsia" w:ascii="Times New Roman" w:hAnsi="Times New Roman"/>
          <w:sz w:val="24"/>
          <w:szCs w:val="24"/>
        </w:rPr>
        <w:t>工程建设方、</w:t>
      </w:r>
      <w:r>
        <w:rPr>
          <w:rFonts w:ascii="Times New Roman" w:hAnsi="Times New Roman"/>
          <w:sz w:val="24"/>
          <w:szCs w:val="24"/>
          <w:lang w:eastAsia="zh-Hans"/>
        </w:rPr>
        <w:t>监理等相关方</w:t>
      </w:r>
      <w:r>
        <w:rPr>
          <w:rFonts w:hint="eastAsia" w:ascii="Times New Roman" w:hAnsi="Times New Roman"/>
          <w:sz w:val="24"/>
          <w:szCs w:val="24"/>
        </w:rPr>
        <w:t>对中标候选人的</w:t>
      </w:r>
      <w:r>
        <w:rPr>
          <w:rFonts w:ascii="Times New Roman" w:hAnsi="Times New Roman"/>
          <w:sz w:val="24"/>
          <w:szCs w:val="24"/>
          <w:lang w:eastAsia="zh-Hans"/>
        </w:rPr>
        <w:t>生产</w:t>
      </w:r>
      <w:r>
        <w:rPr>
          <w:rFonts w:hint="eastAsia" w:ascii="Times New Roman" w:hAnsi="Times New Roman"/>
          <w:sz w:val="24"/>
          <w:szCs w:val="24"/>
          <w:lang w:val="en-US" w:eastAsia="zh-CN"/>
        </w:rPr>
        <w:t>资质、生产</w:t>
      </w:r>
      <w:r>
        <w:rPr>
          <w:rFonts w:ascii="Times New Roman" w:hAnsi="Times New Roman"/>
          <w:sz w:val="24"/>
          <w:szCs w:val="24"/>
          <w:lang w:eastAsia="zh-Hans"/>
        </w:rPr>
        <w:t>能力、施工经验、社会信誉、资金能力以及现场实地考察</w:t>
      </w:r>
      <w:r>
        <w:rPr>
          <w:rFonts w:hint="eastAsia" w:ascii="Times New Roman" w:hAnsi="Times New Roman"/>
          <w:sz w:val="24"/>
          <w:szCs w:val="24"/>
        </w:rPr>
        <w:t>评审</w:t>
      </w:r>
      <w:r>
        <w:rPr>
          <w:rFonts w:ascii="Times New Roman" w:hAnsi="Times New Roman"/>
          <w:sz w:val="24"/>
          <w:szCs w:val="24"/>
          <w:lang w:eastAsia="zh-Hans"/>
        </w:rPr>
        <w:t>后确定中标人，不保证最低价中标。根据评审必要，招标人可以要求投标人进行澄清，并补充书面</w:t>
      </w:r>
      <w:r>
        <w:rPr>
          <w:rFonts w:hint="eastAsia" w:ascii="Times New Roman" w:hAnsi="Times New Roman"/>
          <w:sz w:val="24"/>
          <w:szCs w:val="24"/>
          <w:lang w:val="en-US" w:eastAsia="zh-CN"/>
        </w:rPr>
        <w:t>材料</w:t>
      </w:r>
      <w:r>
        <w:rPr>
          <w:rFonts w:ascii="Times New Roman" w:hAnsi="Times New Roman"/>
          <w:sz w:val="24"/>
          <w:szCs w:val="24"/>
          <w:lang w:eastAsia="zh-Hans"/>
        </w:rPr>
        <w:t>，以便定标参考。</w:t>
      </w:r>
    </w:p>
    <w:p w14:paraId="3081808A">
      <w:pPr>
        <w:snapToGrid w:val="0"/>
        <w:spacing w:line="360" w:lineRule="auto"/>
        <w:ind w:firstLine="480"/>
        <w:rPr>
          <w:b/>
          <w:sz w:val="24"/>
          <w:szCs w:val="24"/>
        </w:rPr>
      </w:pPr>
      <w:r>
        <w:rPr>
          <w:b/>
          <w:sz w:val="24"/>
          <w:szCs w:val="24"/>
        </w:rPr>
        <w:t>十</w:t>
      </w:r>
      <w:r>
        <w:rPr>
          <w:rFonts w:hint="eastAsia"/>
          <w:b/>
          <w:sz w:val="24"/>
          <w:szCs w:val="24"/>
        </w:rPr>
        <w:t>二</w:t>
      </w:r>
      <w:r>
        <w:rPr>
          <w:b/>
          <w:sz w:val="24"/>
          <w:szCs w:val="24"/>
        </w:rPr>
        <w:t>、有下列情况</w:t>
      </w:r>
      <w:r>
        <w:rPr>
          <w:rFonts w:hint="eastAsia"/>
          <w:b/>
          <w:sz w:val="24"/>
          <w:szCs w:val="24"/>
        </w:rPr>
        <w:t>之一</w:t>
      </w:r>
      <w:r>
        <w:rPr>
          <w:b/>
          <w:sz w:val="24"/>
          <w:szCs w:val="24"/>
        </w:rPr>
        <w:t>，</w:t>
      </w:r>
      <w:r>
        <w:rPr>
          <w:b/>
          <w:color w:val="FF0000"/>
          <w:sz w:val="24"/>
          <w:szCs w:val="24"/>
        </w:rPr>
        <w:t>视为无效标：</w:t>
      </w:r>
    </w:p>
    <w:p w14:paraId="56D54976">
      <w:pPr>
        <w:snapToGrid w:val="0"/>
        <w:spacing w:line="360" w:lineRule="auto"/>
        <w:ind w:firstLine="480"/>
        <w:rPr>
          <w:rFonts w:ascii="Times New Roman" w:hAnsi="Times New Roman"/>
          <w:sz w:val="24"/>
          <w:szCs w:val="24"/>
        </w:rPr>
      </w:pPr>
      <w:r>
        <w:rPr>
          <w:rFonts w:ascii="Times New Roman" w:hAnsi="Times New Roman"/>
          <w:sz w:val="24"/>
          <w:szCs w:val="24"/>
        </w:rPr>
        <w:t>（1）投标书未加盖投标人单位公章的；</w:t>
      </w:r>
    </w:p>
    <w:p w14:paraId="2B3AAAB1">
      <w:pPr>
        <w:snapToGrid w:val="0"/>
        <w:spacing w:line="360" w:lineRule="auto"/>
        <w:ind w:firstLine="480"/>
        <w:rPr>
          <w:rFonts w:ascii="Times New Roman" w:hAnsi="Times New Roman"/>
          <w:sz w:val="24"/>
          <w:szCs w:val="24"/>
        </w:rPr>
      </w:pPr>
      <w:r>
        <w:rPr>
          <w:rFonts w:ascii="Times New Roman" w:hAnsi="Times New Roman"/>
          <w:sz w:val="24"/>
          <w:szCs w:val="24"/>
        </w:rPr>
        <w:t>（2）投标人的授权委托人不能提供有效的授权委托书的；</w:t>
      </w:r>
    </w:p>
    <w:p w14:paraId="1AFF02FA">
      <w:pPr>
        <w:snapToGrid w:val="0"/>
        <w:spacing w:line="360" w:lineRule="auto"/>
        <w:ind w:firstLine="480"/>
        <w:rPr>
          <w:rFonts w:ascii="Times New Roman" w:hAnsi="Times New Roman"/>
          <w:sz w:val="24"/>
          <w:szCs w:val="24"/>
        </w:rPr>
      </w:pPr>
      <w:r>
        <w:rPr>
          <w:rFonts w:ascii="Times New Roman" w:hAnsi="Times New Roman"/>
          <w:sz w:val="24"/>
          <w:szCs w:val="24"/>
        </w:rPr>
        <w:t>（3）招标人认为投标报价严重偏离市场行情的；</w:t>
      </w:r>
    </w:p>
    <w:p w14:paraId="387FDE3E">
      <w:pPr>
        <w:adjustRightInd w:val="0"/>
        <w:snapToGrid w:val="0"/>
        <w:spacing w:line="360" w:lineRule="auto"/>
        <w:ind w:left="40" w:firstLine="480" w:firstLineChars="20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4</w:t>
      </w:r>
      <w:r>
        <w:rPr>
          <w:rFonts w:ascii="Times New Roman" w:hAnsi="Times New Roman"/>
          <w:sz w:val="24"/>
          <w:szCs w:val="24"/>
        </w:rPr>
        <w:t>）</w:t>
      </w:r>
      <w:r>
        <w:rPr>
          <w:b/>
          <w:color w:val="FF0000"/>
          <w:sz w:val="24"/>
          <w:szCs w:val="24"/>
        </w:rPr>
        <w:t>报价未按要求填报或擅自更改</w:t>
      </w:r>
      <w:r>
        <w:rPr>
          <w:rFonts w:hint="eastAsia"/>
          <w:b/>
          <w:color w:val="FF0000"/>
          <w:sz w:val="24"/>
          <w:szCs w:val="24"/>
        </w:rPr>
        <w:t>投标文件格式内容</w:t>
      </w:r>
      <w:r>
        <w:rPr>
          <w:b/>
          <w:color w:val="FF0000"/>
          <w:sz w:val="24"/>
          <w:szCs w:val="24"/>
        </w:rPr>
        <w:t>的。</w:t>
      </w:r>
    </w:p>
    <w:p w14:paraId="13DD1D19">
      <w:pPr>
        <w:adjustRightInd w:val="0"/>
        <w:snapToGrid w:val="0"/>
        <w:spacing w:line="360" w:lineRule="auto"/>
        <w:ind w:left="40" w:firstLine="482" w:firstLineChars="200"/>
        <w:rPr>
          <w:rFonts w:ascii="Times New Roman" w:hAnsi="Times New Roman"/>
          <w:b/>
          <w:bCs/>
          <w:sz w:val="24"/>
          <w:szCs w:val="24"/>
        </w:rPr>
      </w:pPr>
      <w:r>
        <w:rPr>
          <w:rFonts w:ascii="Times New Roman" w:hAnsi="Times New Roman"/>
          <w:b/>
          <w:bCs/>
          <w:sz w:val="24"/>
          <w:szCs w:val="24"/>
        </w:rPr>
        <w:t>十</w:t>
      </w:r>
      <w:r>
        <w:rPr>
          <w:rFonts w:hint="eastAsia" w:ascii="Times New Roman" w:hAnsi="Times New Roman"/>
          <w:b/>
          <w:bCs/>
          <w:sz w:val="24"/>
          <w:szCs w:val="24"/>
        </w:rPr>
        <w:t>三</w:t>
      </w:r>
      <w:r>
        <w:rPr>
          <w:rFonts w:ascii="Times New Roman" w:hAnsi="Times New Roman"/>
          <w:b/>
          <w:bCs/>
          <w:sz w:val="24"/>
          <w:szCs w:val="24"/>
        </w:rPr>
        <w:t>、特别提示</w:t>
      </w:r>
    </w:p>
    <w:p w14:paraId="3F96AA5B">
      <w:pPr>
        <w:adjustRightInd w:val="0"/>
        <w:snapToGrid w:val="0"/>
        <w:spacing w:line="360" w:lineRule="auto"/>
        <w:ind w:left="40"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桥式起重机</w:t>
      </w:r>
      <w:r>
        <w:rPr>
          <w:rFonts w:ascii="Times New Roman" w:hAnsi="Times New Roman"/>
          <w:sz w:val="24"/>
          <w:szCs w:val="24"/>
        </w:rPr>
        <w:t>采购拟选择</w:t>
      </w:r>
      <w:r>
        <w:rPr>
          <w:rFonts w:hint="eastAsia" w:ascii="Times New Roman" w:hAnsi="Times New Roman"/>
          <w:sz w:val="24"/>
          <w:szCs w:val="24"/>
          <w:lang w:val="en-US" w:eastAsia="zh-CN"/>
        </w:rPr>
        <w:t>1</w:t>
      </w:r>
      <w:r>
        <w:rPr>
          <w:rFonts w:ascii="Times New Roman" w:hAnsi="Times New Roman"/>
          <w:sz w:val="24"/>
          <w:szCs w:val="24"/>
        </w:rPr>
        <w:t>家供货单位为中标人。</w:t>
      </w:r>
    </w:p>
    <w:p w14:paraId="095F234D">
      <w:pPr>
        <w:adjustRightInd w:val="0"/>
        <w:snapToGrid w:val="0"/>
        <w:spacing w:line="360" w:lineRule="auto"/>
        <w:ind w:left="40" w:firstLine="480" w:firstLineChars="200"/>
        <w:rPr>
          <w:rFonts w:ascii="Times New Roman" w:hAnsi="Times New Roman"/>
          <w:sz w:val="24"/>
          <w:szCs w:val="24"/>
        </w:rPr>
      </w:pPr>
      <w:r>
        <w:rPr>
          <w:rFonts w:ascii="Times New Roman" w:hAnsi="Times New Roman"/>
          <w:sz w:val="24"/>
          <w:szCs w:val="24"/>
        </w:rPr>
        <w:t>2、若2家以上有关联关系(包括：总分公司、母子公司、同一实际控制人的公司、亲属关系的公司或其他可能影响公平公正评标的关系)的投标单位同时投标，则仅以关联关系单位中投标报价最低的为有效标，其他关联关系单位的投标作废标处理。</w:t>
      </w:r>
    </w:p>
    <w:p w14:paraId="6B0AE289">
      <w:pPr>
        <w:adjustRightInd w:val="0"/>
        <w:snapToGrid w:val="0"/>
        <w:spacing w:line="360" w:lineRule="auto"/>
        <w:ind w:left="40" w:firstLine="480" w:firstLineChars="200"/>
        <w:rPr>
          <w:rFonts w:ascii="Times New Roman" w:hAnsi="Times New Roman"/>
          <w:sz w:val="24"/>
          <w:szCs w:val="24"/>
        </w:rPr>
      </w:pPr>
      <w:r>
        <w:rPr>
          <w:rFonts w:ascii="Times New Roman" w:hAnsi="Times New Roman"/>
          <w:sz w:val="24"/>
          <w:szCs w:val="24"/>
        </w:rPr>
        <w:t>3、开标后未获得中标通知者，视为未中标，招标单位和未中标单位均不需向对方承担任何民事责任。</w:t>
      </w:r>
    </w:p>
    <w:p w14:paraId="71EAC5D9">
      <w:pPr>
        <w:adjustRightInd w:val="0"/>
        <w:snapToGrid w:val="0"/>
        <w:spacing w:line="360" w:lineRule="auto"/>
        <w:ind w:left="40" w:firstLine="480" w:firstLineChars="200"/>
        <w:rPr>
          <w:rFonts w:ascii="Times New Roman" w:hAnsi="Times New Roman"/>
          <w:sz w:val="24"/>
          <w:szCs w:val="24"/>
        </w:rPr>
      </w:pPr>
      <w:r>
        <w:rPr>
          <w:rFonts w:ascii="Times New Roman" w:hAnsi="Times New Roman"/>
          <w:sz w:val="24"/>
          <w:szCs w:val="24"/>
        </w:rPr>
        <w:t>4、中标单位在接到中标通知后5个工作日内，到</w:t>
      </w:r>
      <w:bookmarkStart w:id="6" w:name="_Hlk82700346"/>
      <w:r>
        <w:rPr>
          <w:rFonts w:hint="eastAsia" w:ascii="宋体" w:hAnsi="宋体"/>
          <w:sz w:val="24"/>
          <w:szCs w:val="32"/>
        </w:rPr>
        <w:t>江苏省水利建设单位工程有限公司</w:t>
      </w:r>
      <w:r>
        <w:rPr>
          <w:rFonts w:hint="eastAsia" w:ascii="宋体" w:hAnsi="宋体" w:cs="宋体"/>
          <w:bCs/>
          <w:color w:val="000000" w:themeColor="text1"/>
          <w:sz w:val="24"/>
          <w:szCs w:val="32"/>
        </w:rPr>
        <w:t>机电设备安装分公司（</w:t>
      </w:r>
      <w:r>
        <w:rPr>
          <w:rFonts w:hint="eastAsia" w:ascii="宋体" w:hAnsi="宋体"/>
          <w:sz w:val="24"/>
          <w:szCs w:val="24"/>
        </w:rPr>
        <w:t>扬州市广陵区广盛路99号行政楼6楼）</w:t>
      </w:r>
      <w:r>
        <w:rPr>
          <w:rFonts w:ascii="Times New Roman" w:hAnsi="Times New Roman"/>
          <w:sz w:val="24"/>
          <w:szCs w:val="24"/>
        </w:rPr>
        <w:t>签订合同</w:t>
      </w:r>
      <w:bookmarkEnd w:id="6"/>
      <w:r>
        <w:rPr>
          <w:rFonts w:ascii="Times New Roman" w:hAnsi="Times New Roman"/>
          <w:sz w:val="24"/>
          <w:szCs w:val="24"/>
        </w:rPr>
        <w:t>，逾期不签订合同将作为自动放弃处理，并没收其投标保证金。</w:t>
      </w:r>
    </w:p>
    <w:p w14:paraId="3EF4A920">
      <w:pPr>
        <w:adjustRightInd w:val="0"/>
        <w:snapToGrid w:val="0"/>
        <w:spacing w:line="360" w:lineRule="auto"/>
        <w:ind w:left="40" w:firstLine="480" w:firstLineChars="200"/>
        <w:rPr>
          <w:rFonts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本次招投标遵循投标单位自愿参与原则。一经参加投标，即视为投标单位完全同意招标条件、评标办法等招标文件的内容。</w:t>
      </w:r>
    </w:p>
    <w:p w14:paraId="08EEFEC2">
      <w:pPr>
        <w:adjustRightInd w:val="0"/>
        <w:snapToGrid w:val="0"/>
        <w:spacing w:line="360" w:lineRule="auto"/>
        <w:ind w:left="40" w:firstLine="482" w:firstLineChars="200"/>
        <w:rPr>
          <w:rFonts w:ascii="Times New Roman" w:hAnsi="Times New Roman"/>
          <w:b/>
          <w:bCs/>
          <w:sz w:val="24"/>
          <w:szCs w:val="24"/>
        </w:rPr>
      </w:pPr>
      <w:r>
        <w:rPr>
          <w:rFonts w:ascii="Times New Roman" w:hAnsi="Times New Roman"/>
          <w:b/>
          <w:bCs/>
          <w:sz w:val="24"/>
          <w:szCs w:val="24"/>
        </w:rPr>
        <w:t>十</w:t>
      </w:r>
      <w:r>
        <w:rPr>
          <w:rFonts w:hint="eastAsia" w:ascii="Times New Roman" w:hAnsi="Times New Roman"/>
          <w:b/>
          <w:bCs/>
          <w:sz w:val="24"/>
          <w:szCs w:val="24"/>
        </w:rPr>
        <w:t>四</w:t>
      </w:r>
      <w:r>
        <w:rPr>
          <w:rFonts w:ascii="Times New Roman" w:hAnsi="Times New Roman"/>
          <w:b/>
          <w:bCs/>
          <w:sz w:val="24"/>
          <w:szCs w:val="24"/>
        </w:rPr>
        <w:t xml:space="preserve">、其他 </w:t>
      </w:r>
    </w:p>
    <w:p w14:paraId="67F52733">
      <w:pPr>
        <w:adjustRightInd w:val="0"/>
        <w:snapToGrid w:val="0"/>
        <w:spacing w:line="360" w:lineRule="auto"/>
        <w:ind w:left="40" w:firstLine="480"/>
        <w:rPr>
          <w:rFonts w:ascii="Times New Roman" w:hAnsi="Times New Roman"/>
          <w:sz w:val="24"/>
        </w:rPr>
      </w:pPr>
      <w:r>
        <w:rPr>
          <w:rFonts w:ascii="Times New Roman" w:hAnsi="Times New Roman"/>
          <w:sz w:val="24"/>
          <w:szCs w:val="24"/>
        </w:rPr>
        <w:t>1、</w:t>
      </w:r>
      <w:r>
        <w:rPr>
          <w:rFonts w:ascii="Times New Roman" w:hAnsi="Times New Roman"/>
          <w:sz w:val="24"/>
        </w:rPr>
        <w:t>招标文件作为</w:t>
      </w:r>
      <w:r>
        <w:rPr>
          <w:rFonts w:hint="eastAsia" w:ascii="Times New Roman" w:hAnsi="Times New Roman"/>
          <w:sz w:val="24"/>
          <w:szCs w:val="24"/>
        </w:rPr>
        <w:t>桥式起重机</w:t>
      </w:r>
      <w:r>
        <w:rPr>
          <w:rFonts w:ascii="Times New Roman" w:hAnsi="Times New Roman"/>
          <w:sz w:val="24"/>
        </w:rPr>
        <w:t>采购合同的组成部分。</w:t>
      </w:r>
    </w:p>
    <w:p w14:paraId="63D6628C">
      <w:pPr>
        <w:spacing w:line="360" w:lineRule="auto"/>
        <w:ind w:left="40" w:firstLine="480"/>
        <w:rPr>
          <w:b/>
          <w:sz w:val="18"/>
          <w:szCs w:val="18"/>
        </w:rPr>
      </w:pPr>
      <w:r>
        <w:rPr>
          <w:b/>
          <w:sz w:val="18"/>
          <w:szCs w:val="18"/>
        </w:rPr>
        <w:br w:type="page"/>
      </w:r>
    </w:p>
    <w:p w14:paraId="11CFF140">
      <w:pPr>
        <w:spacing w:beforeLines="100"/>
        <w:jc w:val="center"/>
        <w:rPr>
          <w:rFonts w:ascii="Times New Roman" w:hAnsi="Times New Roman"/>
          <w:b/>
          <w:sz w:val="32"/>
          <w:szCs w:val="32"/>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章投标文件附件格式（附件1-</w:t>
      </w:r>
      <w:r>
        <w:rPr>
          <w:rFonts w:hint="eastAsia" w:ascii="Times New Roman" w:hAnsi="Times New Roman"/>
          <w:b/>
          <w:sz w:val="32"/>
          <w:szCs w:val="32"/>
        </w:rPr>
        <w:t>7</w:t>
      </w:r>
      <w:r>
        <w:rPr>
          <w:rFonts w:ascii="Times New Roman" w:hAnsi="Times New Roman"/>
          <w:b/>
          <w:sz w:val="32"/>
          <w:szCs w:val="32"/>
        </w:rPr>
        <w:t>）</w:t>
      </w:r>
    </w:p>
    <w:p w14:paraId="568EB140">
      <w:pPr>
        <w:pStyle w:val="10"/>
        <w:ind w:left="40" w:firstLine="361"/>
        <w:rPr>
          <w:rFonts w:ascii="Times New Roman" w:hAnsi="Times New Roman" w:cs="Times New Roman"/>
          <w:b/>
          <w:sz w:val="18"/>
          <w:szCs w:val="18"/>
        </w:rPr>
      </w:pPr>
    </w:p>
    <w:p w14:paraId="3E929847">
      <w:pPr>
        <w:pStyle w:val="10"/>
        <w:ind w:left="40" w:firstLine="482"/>
        <w:rPr>
          <w:rFonts w:ascii="Times New Roman" w:hAnsi="Times New Roman" w:cs="Times New Roman"/>
          <w:b/>
          <w:sz w:val="24"/>
          <w:szCs w:val="24"/>
        </w:rPr>
      </w:pPr>
      <w:r>
        <w:rPr>
          <w:rFonts w:ascii="Times New Roman" w:hAnsi="Times New Roman" w:cs="Times New Roman"/>
          <w:b/>
          <w:sz w:val="24"/>
          <w:szCs w:val="24"/>
        </w:rPr>
        <w:t>附件1（封面格式）</w:t>
      </w:r>
    </w:p>
    <w:p w14:paraId="2724F4DE">
      <w:pPr>
        <w:spacing w:line="360" w:lineRule="exact"/>
        <w:ind w:left="40" w:firstLine="361"/>
        <w:jc w:val="center"/>
        <w:rPr>
          <w:rFonts w:ascii="Times New Roman" w:hAnsi="Times New Roman"/>
          <w:b/>
          <w:sz w:val="18"/>
          <w:szCs w:val="18"/>
        </w:rPr>
      </w:pPr>
    </w:p>
    <w:p w14:paraId="31FBADEA">
      <w:pPr>
        <w:spacing w:line="360" w:lineRule="exact"/>
        <w:ind w:left="40" w:firstLine="643"/>
        <w:jc w:val="center"/>
        <w:rPr>
          <w:rFonts w:ascii="Times New Roman" w:hAnsi="Times New Roman"/>
          <w:b/>
          <w:sz w:val="32"/>
          <w:szCs w:val="32"/>
        </w:rPr>
      </w:pPr>
    </w:p>
    <w:p w14:paraId="689F8237">
      <w:pPr>
        <w:spacing w:line="360" w:lineRule="exact"/>
        <w:ind w:left="40" w:hanging="40"/>
        <w:jc w:val="center"/>
        <w:rPr>
          <w:rFonts w:ascii="Times New Roman" w:hAnsi="Times New Roman" w:eastAsia="黑体"/>
          <w:b/>
          <w:sz w:val="18"/>
          <w:szCs w:val="18"/>
        </w:rPr>
      </w:pPr>
      <w:r>
        <w:rPr>
          <w:rFonts w:hint="eastAsia" w:ascii="Times New Roman" w:hAnsi="Times New Roman"/>
          <w:b/>
          <w:sz w:val="32"/>
          <w:szCs w:val="32"/>
        </w:rPr>
        <w:t>秦淮新河改扩建工程土建施工及设备安装</w:t>
      </w:r>
    </w:p>
    <w:p w14:paraId="4F5AEDF1">
      <w:pPr>
        <w:spacing w:line="360" w:lineRule="exact"/>
        <w:ind w:left="40" w:firstLine="361"/>
        <w:jc w:val="center"/>
        <w:rPr>
          <w:rFonts w:ascii="Times New Roman" w:hAnsi="Times New Roman" w:eastAsia="黑体"/>
          <w:b/>
          <w:sz w:val="18"/>
          <w:szCs w:val="18"/>
        </w:rPr>
      </w:pPr>
    </w:p>
    <w:p w14:paraId="23D8B8AB">
      <w:pPr>
        <w:spacing w:line="360" w:lineRule="exact"/>
        <w:ind w:left="40" w:firstLine="562"/>
        <w:jc w:val="center"/>
        <w:rPr>
          <w:rFonts w:ascii="Times New Roman" w:hAnsi="Times New Roman" w:eastAsia="黑体"/>
          <w:b/>
          <w:sz w:val="28"/>
          <w:szCs w:val="28"/>
        </w:rPr>
      </w:pPr>
    </w:p>
    <w:p w14:paraId="3DC5FC98">
      <w:pPr>
        <w:jc w:val="center"/>
        <w:rPr>
          <w:b/>
          <w:bCs/>
          <w:sz w:val="44"/>
          <w:szCs w:val="44"/>
        </w:rPr>
      </w:pPr>
      <w:r>
        <w:rPr>
          <w:rFonts w:hint="eastAsia" w:ascii="Times New Roman" w:hAnsi="Times New Roman"/>
          <w:b/>
          <w:sz w:val="44"/>
          <w:szCs w:val="44"/>
        </w:rPr>
        <w:t>桥式起重机</w:t>
      </w:r>
      <w:r>
        <w:rPr>
          <w:b/>
          <w:bCs/>
          <w:sz w:val="44"/>
          <w:szCs w:val="44"/>
        </w:rPr>
        <w:t>采购</w:t>
      </w:r>
    </w:p>
    <w:p w14:paraId="7E0073E8">
      <w:pPr>
        <w:jc w:val="center"/>
        <w:rPr>
          <w:b/>
          <w:bCs/>
          <w:sz w:val="44"/>
          <w:szCs w:val="44"/>
        </w:rPr>
      </w:pPr>
    </w:p>
    <w:p w14:paraId="0769F877">
      <w:pPr>
        <w:jc w:val="center"/>
        <w:rPr>
          <w:b/>
          <w:bCs/>
          <w:sz w:val="44"/>
          <w:szCs w:val="44"/>
        </w:rPr>
      </w:pPr>
    </w:p>
    <w:p w14:paraId="035A2EDA">
      <w:pPr>
        <w:jc w:val="center"/>
        <w:rPr>
          <w:b/>
          <w:bCs/>
          <w:sz w:val="44"/>
          <w:szCs w:val="44"/>
        </w:rPr>
      </w:pPr>
      <w:r>
        <w:rPr>
          <w:b/>
          <w:bCs/>
          <w:sz w:val="44"/>
          <w:szCs w:val="44"/>
        </w:rPr>
        <w:t>投 标 文 件</w:t>
      </w:r>
    </w:p>
    <w:p w14:paraId="6F89FA1C">
      <w:pPr>
        <w:jc w:val="center"/>
        <w:rPr>
          <w:b/>
          <w:bCs/>
          <w:sz w:val="44"/>
          <w:szCs w:val="44"/>
        </w:rPr>
      </w:pPr>
    </w:p>
    <w:p w14:paraId="4141692B">
      <w:pPr>
        <w:pStyle w:val="10"/>
        <w:ind w:firstLine="360"/>
        <w:rPr>
          <w:rFonts w:ascii="Times New Roman" w:hAnsi="Times New Roman" w:cs="Times New Roman"/>
          <w:sz w:val="18"/>
          <w:szCs w:val="18"/>
        </w:rPr>
      </w:pPr>
    </w:p>
    <w:p w14:paraId="6A50CC8B">
      <w:pPr>
        <w:pStyle w:val="10"/>
        <w:ind w:firstLine="360"/>
        <w:rPr>
          <w:rFonts w:ascii="Times New Roman" w:hAnsi="Times New Roman" w:cs="Times New Roman"/>
          <w:sz w:val="18"/>
          <w:szCs w:val="18"/>
        </w:rPr>
      </w:pPr>
    </w:p>
    <w:p w14:paraId="0D2BC85A">
      <w:pPr>
        <w:pStyle w:val="10"/>
        <w:ind w:firstLine="360"/>
        <w:rPr>
          <w:rFonts w:ascii="Times New Roman" w:hAnsi="Times New Roman" w:cs="Times New Roman"/>
          <w:sz w:val="18"/>
          <w:szCs w:val="18"/>
        </w:rPr>
      </w:pPr>
    </w:p>
    <w:p w14:paraId="3A3614E4">
      <w:pPr>
        <w:pStyle w:val="10"/>
        <w:ind w:firstLine="360"/>
        <w:rPr>
          <w:rFonts w:ascii="Times New Roman" w:hAnsi="Times New Roman" w:cs="Times New Roman"/>
          <w:sz w:val="18"/>
          <w:szCs w:val="18"/>
        </w:rPr>
      </w:pPr>
    </w:p>
    <w:p w14:paraId="257318AF">
      <w:pPr>
        <w:pStyle w:val="10"/>
        <w:ind w:firstLine="360"/>
        <w:rPr>
          <w:rFonts w:ascii="Times New Roman" w:hAnsi="Times New Roman" w:cs="Times New Roman"/>
          <w:sz w:val="18"/>
          <w:szCs w:val="18"/>
        </w:rPr>
      </w:pPr>
    </w:p>
    <w:p w14:paraId="0B9914D5">
      <w:pPr>
        <w:pStyle w:val="10"/>
        <w:ind w:firstLine="360"/>
        <w:rPr>
          <w:rFonts w:ascii="Times New Roman" w:hAnsi="Times New Roman" w:cs="Times New Roman"/>
          <w:sz w:val="18"/>
          <w:szCs w:val="18"/>
        </w:rPr>
      </w:pPr>
    </w:p>
    <w:p w14:paraId="0B128C72">
      <w:pPr>
        <w:pStyle w:val="10"/>
        <w:ind w:firstLine="360"/>
        <w:rPr>
          <w:rFonts w:ascii="Times New Roman" w:hAnsi="Times New Roman" w:cs="Times New Roman"/>
          <w:sz w:val="18"/>
          <w:szCs w:val="18"/>
        </w:rPr>
      </w:pPr>
    </w:p>
    <w:p w14:paraId="09E5EFDC">
      <w:pPr>
        <w:pStyle w:val="10"/>
        <w:ind w:firstLine="360"/>
        <w:rPr>
          <w:rFonts w:ascii="Times New Roman" w:hAnsi="Times New Roman" w:cs="Times New Roman"/>
          <w:sz w:val="18"/>
          <w:szCs w:val="18"/>
        </w:rPr>
      </w:pPr>
    </w:p>
    <w:p w14:paraId="13B319A4">
      <w:pPr>
        <w:pStyle w:val="10"/>
        <w:ind w:firstLine="600"/>
        <w:rPr>
          <w:rFonts w:ascii="Times New Roman" w:hAnsi="Times New Roman" w:cs="Times New Roman"/>
          <w:sz w:val="30"/>
          <w:szCs w:val="30"/>
        </w:rPr>
      </w:pPr>
    </w:p>
    <w:p w14:paraId="3809C54D">
      <w:pPr>
        <w:pStyle w:val="10"/>
        <w:spacing w:line="360" w:lineRule="exact"/>
        <w:ind w:left="40" w:leftChars="19" w:firstLine="798" w:firstLineChars="266"/>
        <w:rPr>
          <w:rFonts w:ascii="Times New Roman" w:hAnsi="Times New Roman" w:cs="Times New Roman"/>
          <w:sz w:val="30"/>
          <w:szCs w:val="30"/>
        </w:rPr>
      </w:pPr>
      <w:r>
        <w:rPr>
          <w:rFonts w:ascii="Times New Roman" w:hAnsi="Times New Roman" w:cs="Times New Roman"/>
          <w:sz w:val="30"/>
          <w:szCs w:val="30"/>
        </w:rPr>
        <w:t>投标单位名称（盖章）</w:t>
      </w:r>
    </w:p>
    <w:p w14:paraId="34A3C9A9">
      <w:pPr>
        <w:pStyle w:val="10"/>
        <w:spacing w:line="360" w:lineRule="exact"/>
        <w:ind w:left="40" w:leftChars="19" w:firstLine="798" w:firstLineChars="266"/>
        <w:rPr>
          <w:rFonts w:ascii="Times New Roman" w:hAnsi="Times New Roman" w:cs="Times New Roman"/>
          <w:sz w:val="30"/>
          <w:szCs w:val="30"/>
        </w:rPr>
      </w:pPr>
    </w:p>
    <w:p w14:paraId="07C78E58">
      <w:pPr>
        <w:pStyle w:val="10"/>
        <w:spacing w:line="360" w:lineRule="exact"/>
        <w:ind w:left="40" w:leftChars="19" w:firstLine="798" w:firstLineChars="266"/>
        <w:rPr>
          <w:rFonts w:ascii="Times New Roman" w:hAnsi="Times New Roman" w:cs="Times New Roman"/>
          <w:sz w:val="30"/>
          <w:szCs w:val="30"/>
        </w:rPr>
      </w:pPr>
    </w:p>
    <w:p w14:paraId="6632D404">
      <w:pPr>
        <w:pStyle w:val="10"/>
        <w:spacing w:line="360" w:lineRule="exact"/>
        <w:ind w:left="40" w:leftChars="19" w:firstLine="798" w:firstLineChars="266"/>
        <w:rPr>
          <w:rFonts w:ascii="Times New Roman" w:hAnsi="Times New Roman" w:cs="Times New Roman"/>
          <w:sz w:val="30"/>
          <w:szCs w:val="30"/>
        </w:rPr>
      </w:pPr>
      <w:r>
        <w:rPr>
          <w:rFonts w:ascii="Times New Roman" w:hAnsi="Times New Roman" w:cs="Times New Roman"/>
          <w:sz w:val="30"/>
          <w:szCs w:val="30"/>
        </w:rPr>
        <w:t xml:space="preserve">法定代表人（签章）  </w:t>
      </w:r>
    </w:p>
    <w:p w14:paraId="65891F22">
      <w:pPr>
        <w:pStyle w:val="10"/>
        <w:ind w:left="40" w:leftChars="19" w:firstLine="798" w:firstLineChars="266"/>
        <w:rPr>
          <w:rFonts w:ascii="Times New Roman" w:hAnsi="Times New Roman" w:cs="Times New Roman"/>
          <w:sz w:val="30"/>
          <w:szCs w:val="30"/>
        </w:rPr>
      </w:pPr>
    </w:p>
    <w:p w14:paraId="1BCE35A3">
      <w:pPr>
        <w:pStyle w:val="10"/>
        <w:ind w:left="40" w:leftChars="19" w:firstLine="798" w:firstLineChars="266"/>
        <w:rPr>
          <w:rFonts w:ascii="Times New Roman" w:hAnsi="Times New Roman" w:cs="Times New Roman"/>
          <w:sz w:val="30"/>
          <w:szCs w:val="30"/>
        </w:rPr>
      </w:pPr>
      <w:r>
        <w:rPr>
          <w:rFonts w:ascii="Times New Roman" w:hAnsi="Times New Roman" w:cs="Times New Roman"/>
          <w:sz w:val="30"/>
          <w:szCs w:val="30"/>
        </w:rPr>
        <w:t>日期：</w:t>
      </w:r>
    </w:p>
    <w:p w14:paraId="0FF2C7C1">
      <w:pPr>
        <w:rPr>
          <w:rFonts w:ascii="Times New Roman" w:hAnsi="Times New Roman"/>
          <w:b/>
          <w:sz w:val="24"/>
          <w:szCs w:val="24"/>
        </w:rPr>
      </w:pPr>
      <w:r>
        <w:rPr>
          <w:rFonts w:ascii="Times New Roman" w:hAnsi="Times New Roman"/>
          <w:b/>
          <w:sz w:val="24"/>
          <w:szCs w:val="24"/>
        </w:rPr>
        <w:br w:type="page"/>
      </w:r>
    </w:p>
    <w:p w14:paraId="733FFF11">
      <w:pPr>
        <w:pStyle w:val="10"/>
        <w:rPr>
          <w:rFonts w:ascii="Times New Roman" w:hAnsi="Times New Roman" w:cs="Times New Roman"/>
          <w:b/>
          <w:sz w:val="24"/>
          <w:szCs w:val="24"/>
        </w:rPr>
      </w:pPr>
      <w:r>
        <w:rPr>
          <w:rFonts w:ascii="Times New Roman" w:hAnsi="Times New Roman" w:cs="Times New Roman"/>
          <w:b/>
          <w:sz w:val="24"/>
          <w:szCs w:val="24"/>
        </w:rPr>
        <w:t>附件2</w:t>
      </w:r>
    </w:p>
    <w:p w14:paraId="0595CF2F">
      <w:pPr>
        <w:pStyle w:val="10"/>
        <w:jc w:val="center"/>
        <w:rPr>
          <w:rFonts w:ascii="Times New Roman" w:hAnsi="Times New Roman" w:cs="Times New Roman"/>
          <w:b/>
          <w:sz w:val="32"/>
          <w:szCs w:val="32"/>
        </w:rPr>
      </w:pPr>
      <w:r>
        <w:rPr>
          <w:rFonts w:ascii="Times New Roman" w:hAnsi="Times New Roman" w:cs="Times New Roman"/>
          <w:b/>
          <w:sz w:val="32"/>
          <w:szCs w:val="32"/>
        </w:rPr>
        <w:t>投标</w:t>
      </w:r>
      <w:r>
        <w:rPr>
          <w:rFonts w:hint="eastAsia" w:ascii="Times New Roman" w:hAnsi="Times New Roman" w:cs="Times New Roman"/>
          <w:b/>
          <w:sz w:val="32"/>
          <w:szCs w:val="32"/>
        </w:rPr>
        <w:t>承诺</w:t>
      </w:r>
      <w:r>
        <w:rPr>
          <w:rFonts w:ascii="Times New Roman" w:hAnsi="Times New Roman" w:cs="Times New Roman"/>
          <w:b/>
          <w:sz w:val="32"/>
          <w:szCs w:val="32"/>
        </w:rPr>
        <w:t>函</w:t>
      </w:r>
    </w:p>
    <w:p w14:paraId="2DDA4AC3">
      <w:pPr>
        <w:pStyle w:val="10"/>
        <w:ind w:firstLine="360"/>
        <w:rPr>
          <w:rFonts w:ascii="Times New Roman" w:hAnsi="Times New Roman" w:cs="Times New Roman"/>
          <w:sz w:val="18"/>
          <w:szCs w:val="18"/>
          <w:highlight w:val="yellow"/>
        </w:rPr>
      </w:pPr>
    </w:p>
    <w:p w14:paraId="301865B5">
      <w:pPr>
        <w:spacing w:line="360" w:lineRule="auto"/>
        <w:rPr>
          <w:rFonts w:ascii="Times New Roman" w:hAnsi="Times New Roman" w:eastAsiaTheme="minorEastAsia"/>
          <w:sz w:val="24"/>
          <w:szCs w:val="24"/>
        </w:rPr>
      </w:pPr>
      <w:r>
        <w:rPr>
          <w:rFonts w:ascii="Times New Roman" w:hAnsi="Times New Roman" w:eastAsiaTheme="minorEastAsia"/>
          <w:sz w:val="24"/>
          <w:szCs w:val="24"/>
        </w:rPr>
        <w:t>江苏省水利建设工程有限公司：</w:t>
      </w:r>
    </w:p>
    <w:p w14:paraId="2E55E5EB">
      <w:pPr>
        <w:spacing w:line="360" w:lineRule="auto"/>
        <w:ind w:left="40" w:firstLine="480" w:firstLineChars="200"/>
        <w:rPr>
          <w:rFonts w:ascii="Times New Roman" w:hAnsi="Times New Roman" w:eastAsiaTheme="minorEastAsia"/>
          <w:sz w:val="24"/>
          <w:szCs w:val="24"/>
        </w:rPr>
      </w:pPr>
      <w:r>
        <w:rPr>
          <w:rFonts w:ascii="Times New Roman" w:hAnsi="Times New Roman" w:eastAsiaTheme="minorEastAsia"/>
          <w:sz w:val="24"/>
          <w:szCs w:val="24"/>
        </w:rPr>
        <w:t>根据收到的贵公司的</w:t>
      </w:r>
      <w:bookmarkStart w:id="7" w:name="OLE_LINK6"/>
      <w:r>
        <w:rPr>
          <w:rFonts w:hint="eastAsia" w:ascii="Times New Roman" w:hAnsi="Times New Roman" w:eastAsiaTheme="minorEastAsia"/>
          <w:b/>
          <w:bCs/>
          <w:sz w:val="24"/>
          <w:szCs w:val="24"/>
          <w:u w:val="single"/>
        </w:rPr>
        <w:t>秦淮新河改扩建工程土建施工及设备安装</w:t>
      </w:r>
      <w:bookmarkEnd w:id="7"/>
      <w:r>
        <w:rPr>
          <w:rFonts w:hint="eastAsia" w:ascii="Times New Roman" w:hAnsi="Times New Roman" w:eastAsiaTheme="minorEastAsia"/>
          <w:b/>
          <w:sz w:val="24"/>
          <w:szCs w:val="24"/>
          <w:u w:val="single"/>
        </w:rPr>
        <w:t>工程</w:t>
      </w:r>
      <w:r>
        <w:rPr>
          <w:rFonts w:hint="eastAsia" w:ascii="Times New Roman" w:hAnsi="Times New Roman"/>
          <w:b/>
          <w:sz w:val="24"/>
          <w:szCs w:val="24"/>
          <w:u w:val="single"/>
        </w:rPr>
        <w:t>桥式起重机</w:t>
      </w:r>
      <w:r>
        <w:rPr>
          <w:rFonts w:hint="eastAsia" w:ascii="Times New Roman" w:hAnsi="Times New Roman" w:eastAsiaTheme="minorEastAsia"/>
          <w:b/>
          <w:bCs/>
          <w:sz w:val="24"/>
          <w:szCs w:val="24"/>
          <w:u w:val="single"/>
        </w:rPr>
        <w:t>采购</w:t>
      </w:r>
      <w:r>
        <w:rPr>
          <w:rFonts w:ascii="Times New Roman" w:hAnsi="Times New Roman" w:eastAsiaTheme="minorEastAsia"/>
          <w:sz w:val="24"/>
          <w:szCs w:val="24"/>
        </w:rPr>
        <w:t>招标文件，我方（投标人）完全接受招标文件的要求和买卖合同的全部条款。并致函如下：</w:t>
      </w:r>
    </w:p>
    <w:p w14:paraId="115BAAF1">
      <w:pPr>
        <w:spacing w:line="360" w:lineRule="auto"/>
        <w:ind w:left="40" w:firstLine="480" w:firstLineChars="200"/>
        <w:rPr>
          <w:rFonts w:ascii="Times New Roman" w:hAnsi="Times New Roman" w:eastAsiaTheme="minorEastAsia"/>
          <w:sz w:val="24"/>
          <w:szCs w:val="24"/>
        </w:rPr>
      </w:pPr>
      <w:r>
        <w:rPr>
          <w:rFonts w:ascii="Times New Roman" w:hAnsi="Times New Roman" w:eastAsiaTheme="minorEastAsia"/>
          <w:sz w:val="24"/>
          <w:szCs w:val="24"/>
        </w:rPr>
        <w:t>1</w:t>
      </w:r>
      <w:r>
        <w:rPr>
          <w:rFonts w:hint="eastAsia" w:ascii="Times New Roman" w:hAnsi="Times New Roman" w:eastAsiaTheme="minorEastAsia"/>
          <w:sz w:val="24"/>
          <w:szCs w:val="24"/>
        </w:rPr>
        <w:t>、</w:t>
      </w:r>
      <w:r>
        <w:rPr>
          <w:rFonts w:ascii="Times New Roman" w:hAnsi="Times New Roman" w:eastAsiaTheme="minorEastAsia"/>
          <w:sz w:val="24"/>
          <w:szCs w:val="24"/>
        </w:rPr>
        <w:t>愿意按照招标文件的一切要求，提供标书所列产品，明细见《</w:t>
      </w:r>
      <w:r>
        <w:rPr>
          <w:rFonts w:hint="eastAsia" w:ascii="Times New Roman" w:hAnsi="Times New Roman" w:eastAsiaTheme="minorEastAsia"/>
          <w:sz w:val="24"/>
          <w:szCs w:val="24"/>
        </w:rPr>
        <w:t>投标</w:t>
      </w:r>
      <w:r>
        <w:rPr>
          <w:rFonts w:ascii="Times New Roman" w:hAnsi="Times New Roman" w:eastAsiaTheme="minorEastAsia"/>
          <w:sz w:val="24"/>
          <w:szCs w:val="24"/>
        </w:rPr>
        <w:t>报价</w:t>
      </w:r>
      <w:r>
        <w:rPr>
          <w:rFonts w:hint="eastAsia" w:ascii="Times New Roman" w:hAnsi="Times New Roman" w:eastAsiaTheme="minorEastAsia"/>
          <w:sz w:val="24"/>
          <w:szCs w:val="24"/>
        </w:rPr>
        <w:t>单</w:t>
      </w:r>
      <w:r>
        <w:rPr>
          <w:rFonts w:ascii="Times New Roman" w:hAnsi="Times New Roman" w:eastAsiaTheme="minorEastAsia"/>
          <w:sz w:val="24"/>
          <w:szCs w:val="24"/>
        </w:rPr>
        <w:t>》。</w:t>
      </w:r>
    </w:p>
    <w:p w14:paraId="7E149DD8">
      <w:pPr>
        <w:spacing w:line="360" w:lineRule="auto"/>
        <w:ind w:left="40" w:firstLine="480" w:firstLineChars="200"/>
        <w:rPr>
          <w:rFonts w:ascii="Times New Roman" w:hAnsi="Times New Roman" w:eastAsiaTheme="minorEastAsia"/>
          <w:sz w:val="24"/>
          <w:szCs w:val="24"/>
        </w:rPr>
      </w:pPr>
      <w:r>
        <w:rPr>
          <w:rFonts w:ascii="Times New Roman" w:hAnsi="Times New Roman" w:eastAsiaTheme="minorEastAsia"/>
          <w:sz w:val="24"/>
          <w:szCs w:val="24"/>
        </w:rPr>
        <w:t>2</w:t>
      </w:r>
      <w:r>
        <w:rPr>
          <w:rFonts w:hint="eastAsia" w:ascii="Times New Roman" w:hAnsi="Times New Roman" w:eastAsiaTheme="minorEastAsia"/>
          <w:sz w:val="24"/>
          <w:szCs w:val="24"/>
        </w:rPr>
        <w:t>、</w:t>
      </w:r>
      <w:r>
        <w:rPr>
          <w:rFonts w:ascii="Times New Roman" w:hAnsi="Times New Roman" w:eastAsiaTheme="minorEastAsia"/>
          <w:sz w:val="24"/>
          <w:szCs w:val="24"/>
        </w:rPr>
        <w:t>如果我方中标签约，我们将严格履行招标文件中规定的每一项要求，严格履行合同义务；如果由于我方自身失误形成的风险</w:t>
      </w:r>
      <w:r>
        <w:rPr>
          <w:rFonts w:hint="eastAsia" w:ascii="Times New Roman" w:hAnsi="Times New Roman" w:eastAsiaTheme="minorEastAsia"/>
          <w:sz w:val="24"/>
          <w:szCs w:val="24"/>
        </w:rPr>
        <w:t>和损失</w:t>
      </w:r>
      <w:r>
        <w:rPr>
          <w:rFonts w:ascii="Times New Roman" w:hAnsi="Times New Roman" w:eastAsiaTheme="minorEastAsia"/>
          <w:sz w:val="24"/>
          <w:szCs w:val="24"/>
        </w:rPr>
        <w:t>均由我方承担。</w:t>
      </w:r>
    </w:p>
    <w:p w14:paraId="0238561A">
      <w:pPr>
        <w:spacing w:line="360" w:lineRule="auto"/>
        <w:ind w:left="40" w:firstLine="480" w:firstLineChars="200"/>
        <w:rPr>
          <w:rFonts w:ascii="Times New Roman" w:hAnsi="Times New Roman" w:eastAsiaTheme="minorEastAsia"/>
          <w:sz w:val="24"/>
          <w:szCs w:val="24"/>
        </w:rPr>
      </w:pPr>
      <w:r>
        <w:rPr>
          <w:rFonts w:ascii="Times New Roman" w:hAnsi="Times New Roman" w:eastAsiaTheme="minorEastAsia"/>
          <w:sz w:val="24"/>
          <w:szCs w:val="24"/>
        </w:rPr>
        <w:t>3</w:t>
      </w:r>
      <w:r>
        <w:rPr>
          <w:rFonts w:hint="eastAsia" w:ascii="Times New Roman" w:hAnsi="Times New Roman" w:eastAsiaTheme="minorEastAsia"/>
          <w:sz w:val="24"/>
          <w:szCs w:val="24"/>
        </w:rPr>
        <w:t>、</w:t>
      </w:r>
      <w:r>
        <w:rPr>
          <w:rFonts w:ascii="Times New Roman" w:hAnsi="Times New Roman" w:eastAsiaTheme="minorEastAsia"/>
          <w:sz w:val="24"/>
          <w:szCs w:val="24"/>
        </w:rPr>
        <w:t>我方再次重申：完全同意投标须知中关于</w:t>
      </w:r>
      <w:r>
        <w:rPr>
          <w:rFonts w:hint="eastAsia" w:ascii="Times New Roman" w:hAnsi="Times New Roman" w:eastAsiaTheme="minorEastAsia"/>
          <w:sz w:val="24"/>
          <w:szCs w:val="24"/>
        </w:rPr>
        <w:t>“</w:t>
      </w:r>
      <w:r>
        <w:rPr>
          <w:rFonts w:ascii="Times New Roman" w:hAnsi="Times New Roman" w:eastAsiaTheme="minorEastAsia"/>
          <w:sz w:val="24"/>
          <w:szCs w:val="24"/>
        </w:rPr>
        <w:t>评标方式、标准、方法及特别提示</w:t>
      </w:r>
      <w:r>
        <w:rPr>
          <w:rFonts w:hint="eastAsia" w:ascii="Times New Roman" w:hAnsi="Times New Roman" w:eastAsiaTheme="minorEastAsia"/>
          <w:sz w:val="24"/>
          <w:szCs w:val="24"/>
        </w:rPr>
        <w:t>”</w:t>
      </w:r>
      <w:r>
        <w:rPr>
          <w:rFonts w:ascii="Times New Roman" w:hAnsi="Times New Roman" w:eastAsiaTheme="minorEastAsia"/>
          <w:sz w:val="24"/>
          <w:szCs w:val="24"/>
        </w:rPr>
        <w:t>等陈述，我方认为贵公司有权单方决定中标者，还认为价格和质量、信誉和服务是中标的重要选择标准；无论贵公司是否选择我方作为中标单位，我方均尊重和认可贵公司的决定。</w:t>
      </w:r>
    </w:p>
    <w:p w14:paraId="33F46561">
      <w:pPr>
        <w:spacing w:line="360" w:lineRule="auto"/>
        <w:ind w:left="40" w:firstLine="480" w:firstLineChars="200"/>
        <w:rPr>
          <w:rFonts w:ascii="Times New Roman" w:hAnsi="Times New Roman" w:eastAsiaTheme="minorEastAsia"/>
          <w:sz w:val="24"/>
          <w:szCs w:val="24"/>
        </w:rPr>
      </w:pPr>
      <w:r>
        <w:rPr>
          <w:rFonts w:ascii="Times New Roman" w:hAnsi="Times New Roman" w:eastAsiaTheme="minorEastAsia"/>
          <w:sz w:val="24"/>
          <w:szCs w:val="24"/>
        </w:rPr>
        <w:t>4</w:t>
      </w:r>
      <w:r>
        <w:rPr>
          <w:rFonts w:hint="eastAsia" w:ascii="Times New Roman" w:hAnsi="Times New Roman" w:eastAsiaTheme="minorEastAsia"/>
          <w:sz w:val="24"/>
          <w:szCs w:val="24"/>
        </w:rPr>
        <w:t>、</w:t>
      </w:r>
      <w:r>
        <w:rPr>
          <w:rFonts w:ascii="Times New Roman" w:hAnsi="Times New Roman" w:eastAsiaTheme="minorEastAsia"/>
          <w:sz w:val="24"/>
          <w:szCs w:val="24"/>
        </w:rPr>
        <w:t>我方投标文件（包括对招标文件承诺的内容、不同意见的偏离说明）在开标后的全过程中保持有效，不作任何更改和变动。</w:t>
      </w:r>
    </w:p>
    <w:p w14:paraId="02522F18">
      <w:pPr>
        <w:spacing w:line="360" w:lineRule="auto"/>
        <w:ind w:left="40" w:firstLine="480" w:firstLineChars="200"/>
        <w:rPr>
          <w:rFonts w:ascii="Times New Roman" w:hAnsi="Times New Roman" w:eastAsiaTheme="minorEastAsia"/>
          <w:sz w:val="24"/>
          <w:szCs w:val="24"/>
        </w:rPr>
      </w:pPr>
      <w:r>
        <w:rPr>
          <w:rFonts w:ascii="Times New Roman" w:hAnsi="Times New Roman" w:eastAsiaTheme="minorEastAsia"/>
          <w:sz w:val="24"/>
          <w:szCs w:val="24"/>
        </w:rPr>
        <w:t>5</w:t>
      </w:r>
      <w:r>
        <w:rPr>
          <w:rFonts w:hint="eastAsia" w:ascii="Times New Roman" w:hAnsi="Times New Roman" w:eastAsiaTheme="minorEastAsia"/>
          <w:sz w:val="24"/>
          <w:szCs w:val="24"/>
        </w:rPr>
        <w:t>、</w:t>
      </w:r>
      <w:r>
        <w:rPr>
          <w:rFonts w:ascii="Times New Roman" w:hAnsi="Times New Roman" w:eastAsiaTheme="minorEastAsia"/>
          <w:sz w:val="24"/>
          <w:szCs w:val="24"/>
        </w:rPr>
        <w:t>投标文件中所有关于投标资格的文件、证明、陈述均是真实的、准确的。若有违背，我单位愿意承担由此产生的一切后果。如最终确定我方供货，我方愿意按合同条款签约。</w:t>
      </w:r>
    </w:p>
    <w:p w14:paraId="7FCCED77">
      <w:pPr>
        <w:spacing w:line="360" w:lineRule="auto"/>
        <w:ind w:left="40" w:firstLine="480" w:firstLineChars="200"/>
        <w:rPr>
          <w:rFonts w:ascii="Times New Roman" w:hAnsi="Times New Roman" w:eastAsiaTheme="minorEastAsia"/>
          <w:sz w:val="24"/>
          <w:szCs w:val="24"/>
        </w:rPr>
      </w:pPr>
      <w:r>
        <w:rPr>
          <w:rFonts w:ascii="Times New Roman" w:hAnsi="Times New Roman" w:eastAsiaTheme="minorEastAsia"/>
          <w:sz w:val="24"/>
          <w:szCs w:val="24"/>
        </w:rPr>
        <w:t>6</w:t>
      </w:r>
      <w:r>
        <w:rPr>
          <w:rFonts w:hint="eastAsia" w:ascii="Times New Roman" w:hAnsi="Times New Roman" w:eastAsiaTheme="minorEastAsia"/>
          <w:sz w:val="24"/>
          <w:szCs w:val="24"/>
        </w:rPr>
        <w:t>、</w:t>
      </w:r>
      <w:r>
        <w:rPr>
          <w:rFonts w:ascii="Times New Roman" w:hAnsi="Times New Roman" w:eastAsiaTheme="minorEastAsia"/>
          <w:sz w:val="24"/>
          <w:szCs w:val="24"/>
        </w:rPr>
        <w:t>所有有关招投标的函电，请按下列地址联系：</w:t>
      </w:r>
    </w:p>
    <w:p w14:paraId="7915EE6D">
      <w:pPr>
        <w:spacing w:line="360" w:lineRule="auto"/>
        <w:ind w:left="40" w:firstLine="480" w:firstLineChars="200"/>
        <w:rPr>
          <w:rFonts w:ascii="Times New Roman" w:hAnsi="Times New Roman" w:eastAsiaTheme="minorEastAsia"/>
          <w:sz w:val="24"/>
          <w:szCs w:val="24"/>
        </w:rPr>
      </w:pPr>
    </w:p>
    <w:p w14:paraId="712FA365">
      <w:pPr>
        <w:tabs>
          <w:tab w:val="left" w:pos="5680"/>
        </w:tabs>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投标单位：</w:t>
      </w:r>
      <w:r>
        <w:rPr>
          <w:rFonts w:hint="eastAsia" w:ascii="宋体" w:hAnsi="宋体" w:cs="宋体"/>
          <w:color w:val="000000" w:themeColor="text1"/>
          <w:sz w:val="24"/>
          <w:szCs w:val="24"/>
        </w:rPr>
        <w:tab/>
      </w:r>
      <w:r>
        <w:rPr>
          <w:rFonts w:hint="eastAsia" w:ascii="宋体" w:hAnsi="宋体" w:cs="宋体"/>
          <w:color w:val="000000" w:themeColor="text1"/>
          <w:sz w:val="24"/>
          <w:szCs w:val="24"/>
        </w:rPr>
        <w:t>邮编：</w:t>
      </w:r>
    </w:p>
    <w:p w14:paraId="71D2EB4E">
      <w:pPr>
        <w:tabs>
          <w:tab w:val="left" w:pos="5680"/>
        </w:tabs>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法定代表人（或委托代理人）：</w:t>
      </w:r>
      <w:r>
        <w:rPr>
          <w:rFonts w:hint="eastAsia" w:ascii="宋体" w:hAnsi="宋体" w:cs="宋体"/>
          <w:color w:val="000000" w:themeColor="text1"/>
          <w:sz w:val="24"/>
          <w:szCs w:val="24"/>
        </w:rPr>
        <w:tab/>
      </w:r>
      <w:r>
        <w:rPr>
          <w:rFonts w:hint="eastAsia" w:ascii="宋体" w:hAnsi="宋体" w:cs="宋体"/>
          <w:color w:val="000000" w:themeColor="text1"/>
          <w:sz w:val="24"/>
          <w:szCs w:val="24"/>
        </w:rPr>
        <w:t xml:space="preserve">地址： </w:t>
      </w:r>
    </w:p>
    <w:p w14:paraId="703D8E5C">
      <w:pPr>
        <w:tabs>
          <w:tab w:val="left" w:pos="5680"/>
        </w:tabs>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账户名称：</w:t>
      </w:r>
      <w:r>
        <w:rPr>
          <w:rFonts w:hint="eastAsia" w:ascii="宋体" w:hAnsi="宋体" w:cs="宋体"/>
          <w:color w:val="000000" w:themeColor="text1"/>
          <w:sz w:val="24"/>
          <w:szCs w:val="24"/>
        </w:rPr>
        <w:tab/>
      </w:r>
      <w:r>
        <w:rPr>
          <w:rFonts w:hint="eastAsia" w:ascii="宋体" w:hAnsi="宋体" w:cs="宋体"/>
          <w:color w:val="000000" w:themeColor="text1"/>
          <w:sz w:val="24"/>
          <w:szCs w:val="24"/>
        </w:rPr>
        <w:t xml:space="preserve">电话： </w:t>
      </w:r>
    </w:p>
    <w:p w14:paraId="51D89C28">
      <w:pPr>
        <w:tabs>
          <w:tab w:val="left" w:pos="5680"/>
        </w:tabs>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开户银行：</w:t>
      </w:r>
      <w:r>
        <w:rPr>
          <w:rFonts w:hint="eastAsia" w:ascii="宋体" w:hAnsi="宋体" w:cs="宋体"/>
          <w:color w:val="000000" w:themeColor="text1"/>
          <w:sz w:val="24"/>
          <w:szCs w:val="24"/>
        </w:rPr>
        <w:tab/>
      </w:r>
      <w:r>
        <w:rPr>
          <w:rFonts w:hint="eastAsia" w:ascii="宋体" w:hAnsi="宋体" w:cs="宋体"/>
          <w:color w:val="000000" w:themeColor="text1"/>
          <w:sz w:val="24"/>
          <w:szCs w:val="24"/>
        </w:rPr>
        <w:t>传真：</w:t>
      </w:r>
    </w:p>
    <w:p w14:paraId="2159FF01">
      <w:pPr>
        <w:tabs>
          <w:tab w:val="left" w:pos="5680"/>
        </w:tabs>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银行账号：</w:t>
      </w:r>
      <w:r>
        <w:rPr>
          <w:rFonts w:hint="eastAsia" w:ascii="宋体" w:hAnsi="宋体" w:cs="宋体"/>
          <w:color w:val="000000" w:themeColor="text1"/>
          <w:sz w:val="24"/>
          <w:szCs w:val="24"/>
        </w:rPr>
        <w:tab/>
      </w:r>
      <w:r>
        <w:rPr>
          <w:rFonts w:hint="eastAsia" w:ascii="宋体" w:hAnsi="宋体" w:cs="宋体"/>
          <w:color w:val="000000" w:themeColor="text1"/>
          <w:sz w:val="24"/>
          <w:szCs w:val="24"/>
        </w:rPr>
        <w:t>投标单位（公章）：</w:t>
      </w:r>
    </w:p>
    <w:p w14:paraId="1C3306BD">
      <w:pPr>
        <w:spacing w:line="360" w:lineRule="auto"/>
        <w:ind w:firstLine="6360" w:firstLineChars="2650"/>
        <w:rPr>
          <w:sz w:val="24"/>
          <w:szCs w:val="24"/>
        </w:rPr>
      </w:pPr>
      <w:r>
        <w:rPr>
          <w:rFonts w:ascii="宋体" w:hAnsi="宋体"/>
          <w:sz w:val="24"/>
          <w:szCs w:val="24"/>
        </w:rPr>
        <w:t xml:space="preserve"> 年   月   日</w:t>
      </w:r>
    </w:p>
    <w:p w14:paraId="04D0A7FF">
      <w:pPr>
        <w:ind w:firstLine="480"/>
        <w:rPr>
          <w:rFonts w:ascii="宋体" w:hAnsi="宋体"/>
          <w:szCs w:val="24"/>
        </w:rPr>
      </w:pPr>
      <w:r>
        <w:rPr>
          <w:rFonts w:hint="eastAsia" w:ascii="宋体" w:hAnsi="宋体"/>
          <w:szCs w:val="24"/>
        </w:rPr>
        <w:br w:type="page"/>
      </w:r>
    </w:p>
    <w:p w14:paraId="73A767BB">
      <w:pPr>
        <w:pStyle w:val="10"/>
        <w:rPr>
          <w:rFonts w:ascii="Times New Roman" w:hAnsi="Times New Roman" w:cs="Times New Roman"/>
          <w:b/>
          <w:sz w:val="18"/>
          <w:szCs w:val="18"/>
        </w:rPr>
      </w:pPr>
      <w:r>
        <w:rPr>
          <w:rFonts w:ascii="Times New Roman" w:hAnsi="Times New Roman" w:cs="Times New Roman"/>
          <w:b/>
          <w:sz w:val="18"/>
          <w:szCs w:val="18"/>
        </w:rPr>
        <w:t>附件3：</w:t>
      </w:r>
    </w:p>
    <w:p w14:paraId="680C66B8">
      <w:pPr>
        <w:widowControl/>
        <w:tabs>
          <w:tab w:val="left" w:pos="590"/>
        </w:tabs>
        <w:jc w:val="center"/>
        <w:rPr>
          <w:rFonts w:ascii="Times New Roman" w:hAnsi="Times New Roman"/>
          <w:b/>
          <w:sz w:val="32"/>
          <w:szCs w:val="32"/>
        </w:rPr>
      </w:pPr>
      <w:r>
        <w:rPr>
          <w:rFonts w:ascii="Times New Roman" w:hAnsi="Times New Roman"/>
          <w:b/>
          <w:sz w:val="32"/>
          <w:szCs w:val="32"/>
        </w:rPr>
        <w:t>投标报价</w:t>
      </w:r>
      <w:r>
        <w:rPr>
          <w:rFonts w:hint="eastAsia" w:ascii="Times New Roman" w:hAnsi="Times New Roman"/>
          <w:b/>
          <w:sz w:val="32"/>
          <w:szCs w:val="32"/>
        </w:rPr>
        <w:t>单</w:t>
      </w:r>
    </w:p>
    <w:p w14:paraId="34BF5CDD">
      <w:pPr>
        <w:keepNext w:val="0"/>
        <w:keepLines w:val="0"/>
        <w:pageBreakBefore w:val="0"/>
        <w:widowControl w:val="0"/>
        <w:kinsoku/>
        <w:wordWrap/>
        <w:overflowPunct/>
        <w:topLinePunct w:val="0"/>
        <w:autoSpaceDE/>
        <w:autoSpaceDN/>
        <w:bidi w:val="0"/>
        <w:spacing w:line="288" w:lineRule="auto"/>
        <w:jc w:val="left"/>
        <w:textAlignment w:val="auto"/>
        <w:rPr>
          <w:rFonts w:ascii="宋体" w:hAnsi="宋体" w:cs="宋体"/>
          <w:sz w:val="24"/>
          <w:szCs w:val="24"/>
        </w:rPr>
      </w:pPr>
      <w:r>
        <w:rPr>
          <w:rFonts w:hint="eastAsia" w:ascii="宋体" w:hAnsi="宋体" w:cs="宋体"/>
          <w:sz w:val="24"/>
          <w:szCs w:val="24"/>
        </w:rPr>
        <w:t>江苏省水利建设工程有限公司：</w:t>
      </w:r>
    </w:p>
    <w:p w14:paraId="52462161">
      <w:pPr>
        <w:keepNext w:val="0"/>
        <w:keepLines w:val="0"/>
        <w:pageBreakBefore w:val="0"/>
        <w:widowControl w:val="0"/>
        <w:kinsoku/>
        <w:wordWrap/>
        <w:overflowPunct/>
        <w:topLinePunct w:val="0"/>
        <w:autoSpaceDE/>
        <w:autoSpaceDN/>
        <w:bidi w:val="0"/>
        <w:adjustRightInd w:val="0"/>
        <w:snapToGrid w:val="0"/>
        <w:spacing w:line="288" w:lineRule="auto"/>
        <w:ind w:left="40" w:firstLine="480" w:firstLineChars="200"/>
        <w:jc w:val="left"/>
        <w:textAlignment w:val="auto"/>
        <w:rPr>
          <w:sz w:val="24"/>
          <w:szCs w:val="24"/>
        </w:rPr>
      </w:pPr>
      <w:r>
        <w:rPr>
          <w:rFonts w:hint="eastAsia"/>
          <w:sz w:val="24"/>
          <w:szCs w:val="24"/>
        </w:rPr>
        <w:t>我单位拟向贵公司供应</w:t>
      </w:r>
      <w:r>
        <w:rPr>
          <w:rFonts w:hint="eastAsia" w:ascii="Times New Roman" w:hAnsi="Times New Roman" w:eastAsiaTheme="minorEastAsia"/>
          <w:sz w:val="24"/>
          <w:szCs w:val="24"/>
          <w:u w:val="single"/>
        </w:rPr>
        <w:t>秦淮新河水利枢纽改扩建工程土建施工及设备安装</w:t>
      </w:r>
      <w:r>
        <w:rPr>
          <w:rFonts w:hint="eastAsia"/>
          <w:sz w:val="24"/>
          <w:szCs w:val="24"/>
        </w:rPr>
        <w:t>所用的</w:t>
      </w:r>
      <w:r>
        <w:rPr>
          <w:rFonts w:hint="eastAsia" w:ascii="Times New Roman" w:hAnsi="Times New Roman"/>
          <w:sz w:val="24"/>
          <w:szCs w:val="24"/>
        </w:rPr>
        <w:t>桥式起重机</w:t>
      </w:r>
      <w:r>
        <w:rPr>
          <w:rFonts w:hint="eastAsia"/>
          <w:sz w:val="24"/>
          <w:szCs w:val="24"/>
        </w:rPr>
        <w:t>，价格如下：</w:t>
      </w:r>
    </w:p>
    <w:tbl>
      <w:tblPr>
        <w:tblStyle w:val="16"/>
        <w:tblW w:w="9888" w:type="dxa"/>
        <w:jc w:val="center"/>
        <w:tblLayout w:type="fixed"/>
        <w:tblCellMar>
          <w:top w:w="0" w:type="dxa"/>
          <w:left w:w="23" w:type="dxa"/>
          <w:bottom w:w="0" w:type="dxa"/>
          <w:right w:w="23" w:type="dxa"/>
        </w:tblCellMar>
      </w:tblPr>
      <w:tblGrid>
        <w:gridCol w:w="1788"/>
        <w:gridCol w:w="1170"/>
        <w:gridCol w:w="1522"/>
        <w:gridCol w:w="512"/>
        <w:gridCol w:w="554"/>
        <w:gridCol w:w="1007"/>
        <w:gridCol w:w="1547"/>
        <w:gridCol w:w="1788"/>
      </w:tblGrid>
      <w:tr w14:paraId="289C8EA5">
        <w:tblPrEx>
          <w:tblCellMar>
            <w:top w:w="0" w:type="dxa"/>
            <w:left w:w="23" w:type="dxa"/>
            <w:bottom w:w="0" w:type="dxa"/>
            <w:right w:w="23" w:type="dxa"/>
          </w:tblCellMar>
        </w:tblPrEx>
        <w:trPr>
          <w:trHeight w:val="425" w:hRule="atLeast"/>
          <w:jc w:val="center"/>
        </w:trPr>
        <w:tc>
          <w:tcPr>
            <w:tcW w:w="1788" w:type="dxa"/>
            <w:tcBorders>
              <w:top w:val="single" w:color="auto" w:sz="4" w:space="0"/>
              <w:left w:val="single" w:color="auto" w:sz="4" w:space="0"/>
              <w:bottom w:val="single" w:color="auto" w:sz="4" w:space="0"/>
              <w:right w:val="single" w:color="auto" w:sz="4" w:space="0"/>
            </w:tcBorders>
            <w:noWrap/>
            <w:vAlign w:val="center"/>
          </w:tcPr>
          <w:p w14:paraId="6CD09D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 w:val="21"/>
                <w:szCs w:val="21"/>
              </w:rPr>
            </w:pPr>
            <w:r>
              <w:rPr>
                <w:rFonts w:ascii="Times New Roman" w:hAnsi="Times New Roman"/>
                <w:color w:val="000000"/>
                <w:kern w:val="0"/>
                <w:sz w:val="21"/>
                <w:szCs w:val="21"/>
              </w:rPr>
              <w:t>名称</w:t>
            </w:r>
          </w:p>
        </w:tc>
        <w:tc>
          <w:tcPr>
            <w:tcW w:w="1170" w:type="dxa"/>
            <w:tcBorders>
              <w:top w:val="single" w:color="auto" w:sz="4" w:space="0"/>
              <w:left w:val="nil"/>
              <w:bottom w:val="single" w:color="auto" w:sz="4" w:space="0"/>
              <w:right w:val="single" w:color="auto" w:sz="4" w:space="0"/>
            </w:tcBorders>
            <w:noWrap/>
            <w:vAlign w:val="center"/>
          </w:tcPr>
          <w:p w14:paraId="1CAE07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 w:val="21"/>
                <w:szCs w:val="21"/>
              </w:rPr>
            </w:pPr>
            <w:r>
              <w:rPr>
                <w:rFonts w:ascii="Times New Roman" w:hAnsi="Times New Roman"/>
                <w:color w:val="000000"/>
                <w:kern w:val="0"/>
                <w:sz w:val="21"/>
                <w:szCs w:val="21"/>
              </w:rPr>
              <w:t>型号</w:t>
            </w:r>
          </w:p>
        </w:tc>
        <w:tc>
          <w:tcPr>
            <w:tcW w:w="1522" w:type="dxa"/>
            <w:tcBorders>
              <w:top w:val="single" w:color="auto" w:sz="4" w:space="0"/>
              <w:left w:val="nil"/>
              <w:bottom w:val="single" w:color="auto" w:sz="4" w:space="0"/>
              <w:right w:val="single" w:color="auto" w:sz="4" w:space="0"/>
            </w:tcBorders>
            <w:noWrap/>
            <w:vAlign w:val="center"/>
          </w:tcPr>
          <w:p w14:paraId="693376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 w:val="21"/>
                <w:szCs w:val="21"/>
              </w:rPr>
            </w:pPr>
            <w:r>
              <w:rPr>
                <w:rFonts w:ascii="Times New Roman" w:hAnsi="Times New Roman"/>
                <w:color w:val="000000"/>
                <w:kern w:val="0"/>
                <w:sz w:val="21"/>
                <w:szCs w:val="21"/>
              </w:rPr>
              <w:t>特征描述</w:t>
            </w:r>
          </w:p>
        </w:tc>
        <w:tc>
          <w:tcPr>
            <w:tcW w:w="512" w:type="dxa"/>
            <w:tcBorders>
              <w:top w:val="single" w:color="auto" w:sz="4" w:space="0"/>
              <w:left w:val="nil"/>
              <w:bottom w:val="single" w:color="auto" w:sz="4" w:space="0"/>
              <w:right w:val="single" w:color="auto" w:sz="4" w:space="0"/>
            </w:tcBorders>
            <w:noWrap/>
            <w:vAlign w:val="center"/>
          </w:tcPr>
          <w:p w14:paraId="61458A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 w:val="21"/>
                <w:szCs w:val="21"/>
              </w:rPr>
            </w:pPr>
            <w:r>
              <w:rPr>
                <w:rFonts w:hint="eastAsia" w:ascii="Times New Roman" w:hAnsi="Times New Roman"/>
                <w:color w:val="000000"/>
                <w:kern w:val="0"/>
                <w:sz w:val="21"/>
                <w:szCs w:val="21"/>
              </w:rPr>
              <w:t>计量</w:t>
            </w:r>
            <w:r>
              <w:rPr>
                <w:rFonts w:ascii="Times New Roman" w:hAnsi="Times New Roman"/>
                <w:color w:val="000000"/>
                <w:kern w:val="0"/>
                <w:sz w:val="21"/>
                <w:szCs w:val="21"/>
              </w:rPr>
              <w:t>单位</w:t>
            </w:r>
          </w:p>
        </w:tc>
        <w:tc>
          <w:tcPr>
            <w:tcW w:w="554" w:type="dxa"/>
            <w:tcBorders>
              <w:top w:val="single" w:color="auto" w:sz="4" w:space="0"/>
              <w:left w:val="nil"/>
              <w:bottom w:val="single" w:color="auto" w:sz="4" w:space="0"/>
              <w:right w:val="single" w:color="auto" w:sz="4" w:space="0"/>
            </w:tcBorders>
            <w:noWrap/>
            <w:vAlign w:val="center"/>
          </w:tcPr>
          <w:p w14:paraId="71F367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 w:val="21"/>
                <w:szCs w:val="21"/>
              </w:rPr>
            </w:pPr>
            <w:r>
              <w:rPr>
                <w:rFonts w:ascii="Times New Roman" w:hAnsi="Times New Roman"/>
                <w:color w:val="000000"/>
                <w:kern w:val="0"/>
                <w:sz w:val="21"/>
                <w:szCs w:val="21"/>
              </w:rPr>
              <w:t>数量</w:t>
            </w:r>
          </w:p>
        </w:tc>
        <w:tc>
          <w:tcPr>
            <w:tcW w:w="1007" w:type="dxa"/>
            <w:tcBorders>
              <w:top w:val="single" w:color="auto" w:sz="4" w:space="0"/>
              <w:left w:val="nil"/>
              <w:bottom w:val="single" w:color="auto" w:sz="4" w:space="0"/>
              <w:right w:val="single" w:color="auto" w:sz="4" w:space="0"/>
            </w:tcBorders>
            <w:vAlign w:val="center"/>
          </w:tcPr>
          <w:p w14:paraId="4FA38B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 w:val="21"/>
                <w:szCs w:val="21"/>
              </w:rPr>
            </w:pPr>
            <w:r>
              <w:rPr>
                <w:rFonts w:ascii="Times New Roman" w:hAnsi="Times New Roman"/>
                <w:color w:val="000000"/>
                <w:kern w:val="0"/>
                <w:sz w:val="21"/>
                <w:szCs w:val="21"/>
              </w:rPr>
              <w:t>含税单价（元）</w:t>
            </w:r>
          </w:p>
        </w:tc>
        <w:tc>
          <w:tcPr>
            <w:tcW w:w="1547" w:type="dxa"/>
            <w:tcBorders>
              <w:top w:val="single" w:color="auto" w:sz="4" w:space="0"/>
              <w:left w:val="nil"/>
              <w:bottom w:val="single" w:color="auto" w:sz="4" w:space="0"/>
              <w:right w:val="single" w:color="auto" w:sz="4" w:space="0"/>
            </w:tcBorders>
            <w:vAlign w:val="center"/>
          </w:tcPr>
          <w:p w14:paraId="6F7B87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 w:val="21"/>
                <w:szCs w:val="21"/>
              </w:rPr>
            </w:pPr>
            <w:r>
              <w:rPr>
                <w:rFonts w:ascii="Times New Roman" w:hAnsi="Times New Roman"/>
                <w:color w:val="000000"/>
                <w:kern w:val="0"/>
                <w:sz w:val="21"/>
                <w:szCs w:val="21"/>
              </w:rPr>
              <w:t>含税合价（元）</w:t>
            </w:r>
          </w:p>
        </w:tc>
        <w:tc>
          <w:tcPr>
            <w:tcW w:w="1788" w:type="dxa"/>
            <w:tcBorders>
              <w:top w:val="single" w:color="auto" w:sz="4" w:space="0"/>
              <w:left w:val="nil"/>
              <w:bottom w:val="single" w:color="auto" w:sz="4" w:space="0"/>
              <w:right w:val="single" w:color="auto" w:sz="4" w:space="0"/>
            </w:tcBorders>
            <w:noWrap/>
            <w:vAlign w:val="center"/>
          </w:tcPr>
          <w:p w14:paraId="70B641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 w:val="21"/>
                <w:szCs w:val="21"/>
              </w:rPr>
            </w:pPr>
            <w:r>
              <w:rPr>
                <w:rFonts w:ascii="Times New Roman" w:hAnsi="Times New Roman"/>
                <w:color w:val="000000"/>
                <w:kern w:val="0"/>
                <w:sz w:val="21"/>
                <w:szCs w:val="21"/>
              </w:rPr>
              <w:t>备注</w:t>
            </w:r>
          </w:p>
        </w:tc>
      </w:tr>
      <w:tr w14:paraId="745A2F43">
        <w:tblPrEx>
          <w:tblCellMar>
            <w:top w:w="0" w:type="dxa"/>
            <w:left w:w="23" w:type="dxa"/>
            <w:bottom w:w="0" w:type="dxa"/>
            <w:right w:w="23" w:type="dxa"/>
          </w:tblCellMar>
        </w:tblPrEx>
        <w:trPr>
          <w:trHeight w:val="425" w:hRule="atLeast"/>
          <w:jc w:val="center"/>
        </w:trPr>
        <w:tc>
          <w:tcPr>
            <w:tcW w:w="1788" w:type="dxa"/>
            <w:tcBorders>
              <w:top w:val="nil"/>
              <w:left w:val="single" w:color="auto" w:sz="4" w:space="0"/>
              <w:bottom w:val="single" w:color="auto" w:sz="4" w:space="0"/>
              <w:right w:val="single" w:color="auto" w:sz="4" w:space="0"/>
            </w:tcBorders>
            <w:vAlign w:val="center"/>
          </w:tcPr>
          <w:p w14:paraId="478D20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r>
              <w:rPr>
                <w:rFonts w:hint="eastAsia" w:ascii="Times New Roman" w:hAnsi="Times New Roman"/>
                <w:color w:val="000000"/>
                <w:spacing w:val="-6"/>
                <w:kern w:val="0"/>
                <w:sz w:val="21"/>
                <w:szCs w:val="21"/>
              </w:rPr>
              <w:t>电动双梁吊钩桥式起重机（含轨道、车档、预埋件等配件）</w:t>
            </w:r>
          </w:p>
        </w:tc>
        <w:tc>
          <w:tcPr>
            <w:tcW w:w="1170" w:type="dxa"/>
            <w:tcBorders>
              <w:top w:val="nil"/>
              <w:left w:val="nil"/>
              <w:bottom w:val="single" w:color="auto" w:sz="4" w:space="0"/>
              <w:right w:val="single" w:color="auto" w:sz="4" w:space="0"/>
            </w:tcBorders>
            <w:vAlign w:val="center"/>
          </w:tcPr>
          <w:p w14:paraId="168278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r>
              <w:rPr>
                <w:rFonts w:hint="eastAsia" w:ascii="Times New Roman" w:hAnsi="Times New Roman"/>
                <w:color w:val="000000"/>
                <w:spacing w:val="-6"/>
                <w:kern w:val="0"/>
                <w:sz w:val="21"/>
                <w:szCs w:val="21"/>
              </w:rPr>
              <w:t>320/50kN，跨距12.7m，起吊行程29.2m</w:t>
            </w:r>
          </w:p>
        </w:tc>
        <w:tc>
          <w:tcPr>
            <w:tcW w:w="1522" w:type="dxa"/>
            <w:tcBorders>
              <w:top w:val="nil"/>
              <w:left w:val="nil"/>
              <w:bottom w:val="single" w:color="auto" w:sz="4" w:space="0"/>
              <w:right w:val="single" w:color="auto" w:sz="4" w:space="0"/>
            </w:tcBorders>
            <w:vAlign w:val="center"/>
          </w:tcPr>
          <w:p w14:paraId="2E8E72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r>
              <w:rPr>
                <w:rFonts w:hint="eastAsia" w:ascii="Times New Roman" w:hAnsi="Times New Roman"/>
                <w:color w:val="000000"/>
                <w:spacing w:val="-6"/>
                <w:kern w:val="0"/>
                <w:sz w:val="21"/>
                <w:szCs w:val="21"/>
              </w:rPr>
              <w:t>相关参数需出图纸由设计单位及建设单位确认</w:t>
            </w:r>
          </w:p>
        </w:tc>
        <w:tc>
          <w:tcPr>
            <w:tcW w:w="512" w:type="dxa"/>
            <w:tcBorders>
              <w:top w:val="nil"/>
              <w:left w:val="nil"/>
              <w:bottom w:val="single" w:color="auto" w:sz="4" w:space="0"/>
              <w:right w:val="single" w:color="auto" w:sz="4" w:space="0"/>
            </w:tcBorders>
            <w:vAlign w:val="center"/>
          </w:tcPr>
          <w:p w14:paraId="5F0035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r>
              <w:rPr>
                <w:rFonts w:hint="eastAsia" w:ascii="Times New Roman" w:hAnsi="Times New Roman"/>
                <w:color w:val="000000"/>
                <w:spacing w:val="-6"/>
                <w:kern w:val="0"/>
                <w:sz w:val="21"/>
                <w:szCs w:val="21"/>
              </w:rPr>
              <w:t>台套</w:t>
            </w:r>
          </w:p>
        </w:tc>
        <w:tc>
          <w:tcPr>
            <w:tcW w:w="554" w:type="dxa"/>
            <w:tcBorders>
              <w:top w:val="nil"/>
              <w:left w:val="nil"/>
              <w:bottom w:val="single" w:color="auto" w:sz="4" w:space="0"/>
              <w:right w:val="single" w:color="auto" w:sz="4" w:space="0"/>
            </w:tcBorders>
            <w:noWrap/>
            <w:vAlign w:val="center"/>
          </w:tcPr>
          <w:p w14:paraId="749A91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r>
              <w:rPr>
                <w:rFonts w:hint="eastAsia" w:ascii="Times New Roman" w:hAnsi="Times New Roman"/>
                <w:color w:val="000000"/>
                <w:spacing w:val="-6"/>
                <w:kern w:val="0"/>
                <w:sz w:val="21"/>
                <w:szCs w:val="21"/>
              </w:rPr>
              <w:t>1</w:t>
            </w:r>
          </w:p>
        </w:tc>
        <w:tc>
          <w:tcPr>
            <w:tcW w:w="1007" w:type="dxa"/>
            <w:tcBorders>
              <w:top w:val="nil"/>
              <w:left w:val="nil"/>
              <w:bottom w:val="single" w:color="auto" w:sz="4" w:space="0"/>
              <w:right w:val="single" w:color="auto" w:sz="4" w:space="0"/>
            </w:tcBorders>
            <w:noWrap/>
            <w:vAlign w:val="center"/>
          </w:tcPr>
          <w:p w14:paraId="2F6468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p>
        </w:tc>
        <w:tc>
          <w:tcPr>
            <w:tcW w:w="1547" w:type="dxa"/>
            <w:tcBorders>
              <w:top w:val="nil"/>
              <w:left w:val="nil"/>
              <w:bottom w:val="single" w:color="auto" w:sz="4" w:space="0"/>
              <w:right w:val="single" w:color="auto" w:sz="4" w:space="0"/>
            </w:tcBorders>
            <w:noWrap/>
            <w:vAlign w:val="center"/>
          </w:tcPr>
          <w:p w14:paraId="21B36B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p>
        </w:tc>
        <w:tc>
          <w:tcPr>
            <w:tcW w:w="1788" w:type="dxa"/>
            <w:tcBorders>
              <w:top w:val="nil"/>
              <w:left w:val="nil"/>
              <w:bottom w:val="single" w:color="auto" w:sz="4" w:space="0"/>
              <w:right w:val="single" w:color="auto" w:sz="4" w:space="0"/>
            </w:tcBorders>
            <w:noWrap/>
            <w:vAlign w:val="center"/>
          </w:tcPr>
          <w:p w14:paraId="2B2DD8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themeColor="text1"/>
                <w:spacing w:val="-6"/>
                <w:kern w:val="0"/>
                <w:sz w:val="21"/>
                <w:szCs w:val="21"/>
              </w:rPr>
            </w:pPr>
            <w:r>
              <w:rPr>
                <w:rFonts w:hint="eastAsia" w:ascii="Times New Roman" w:hAnsi="Times New Roman"/>
                <w:color w:val="000000" w:themeColor="text1"/>
                <w:spacing w:val="-6"/>
                <w:kern w:val="0"/>
                <w:sz w:val="21"/>
                <w:szCs w:val="21"/>
              </w:rPr>
              <w:t>含安装及特种设备行业报验等</w:t>
            </w:r>
          </w:p>
        </w:tc>
      </w:tr>
      <w:tr w14:paraId="713E8846">
        <w:tblPrEx>
          <w:tblCellMar>
            <w:top w:w="0" w:type="dxa"/>
            <w:left w:w="23" w:type="dxa"/>
            <w:bottom w:w="0" w:type="dxa"/>
            <w:right w:w="23" w:type="dxa"/>
          </w:tblCellMar>
        </w:tblPrEx>
        <w:trPr>
          <w:trHeight w:val="425" w:hRule="atLeast"/>
          <w:jc w:val="center"/>
        </w:trPr>
        <w:tc>
          <w:tcPr>
            <w:tcW w:w="1788" w:type="dxa"/>
            <w:tcBorders>
              <w:top w:val="nil"/>
              <w:left w:val="single" w:color="auto" w:sz="4" w:space="0"/>
              <w:bottom w:val="single" w:color="auto" w:sz="4" w:space="0"/>
              <w:right w:val="single" w:color="auto" w:sz="4" w:space="0"/>
            </w:tcBorders>
            <w:vAlign w:val="center"/>
          </w:tcPr>
          <w:p w14:paraId="13793B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olor w:val="000000"/>
                <w:spacing w:val="-6"/>
                <w:kern w:val="0"/>
                <w:sz w:val="21"/>
                <w:szCs w:val="21"/>
                <w:lang w:val="en-US" w:eastAsia="zh-CN"/>
              </w:rPr>
            </w:pPr>
            <w:r>
              <w:rPr>
                <w:rFonts w:hint="eastAsia" w:ascii="Times New Roman" w:hAnsi="Times New Roman"/>
                <w:color w:val="000000"/>
                <w:spacing w:val="-6"/>
                <w:kern w:val="0"/>
                <w:sz w:val="21"/>
                <w:szCs w:val="21"/>
              </w:rPr>
              <w:t>电动双梁桥式起重机</w:t>
            </w:r>
            <w:r>
              <w:rPr>
                <w:rFonts w:hint="eastAsia" w:ascii="Times New Roman" w:hAnsi="Times New Roman"/>
                <w:color w:val="000000"/>
                <w:spacing w:val="-6"/>
                <w:kern w:val="0"/>
                <w:sz w:val="21"/>
                <w:szCs w:val="21"/>
                <w:lang w:val="en-US" w:eastAsia="zh-CN"/>
              </w:rPr>
              <w:t>(</w:t>
            </w:r>
            <w:r>
              <w:rPr>
                <w:rFonts w:hint="eastAsia" w:ascii="Times New Roman" w:hAnsi="Times New Roman"/>
                <w:color w:val="000000"/>
                <w:spacing w:val="-6"/>
                <w:kern w:val="0"/>
                <w:sz w:val="21"/>
                <w:szCs w:val="21"/>
              </w:rPr>
              <w:t>含轨道、车档、预埋件等配件</w:t>
            </w:r>
            <w:r>
              <w:rPr>
                <w:rFonts w:hint="eastAsia" w:ascii="Times New Roman" w:hAnsi="Times New Roman"/>
                <w:color w:val="000000"/>
                <w:spacing w:val="-6"/>
                <w:kern w:val="0"/>
                <w:sz w:val="21"/>
                <w:szCs w:val="21"/>
                <w:lang w:val="en-US" w:eastAsia="zh-CN"/>
              </w:rPr>
              <w:t>)</w:t>
            </w:r>
          </w:p>
        </w:tc>
        <w:tc>
          <w:tcPr>
            <w:tcW w:w="1170" w:type="dxa"/>
            <w:tcBorders>
              <w:top w:val="nil"/>
              <w:left w:val="nil"/>
              <w:bottom w:val="single" w:color="auto" w:sz="4" w:space="0"/>
              <w:right w:val="single" w:color="auto" w:sz="4" w:space="0"/>
            </w:tcBorders>
            <w:vAlign w:val="center"/>
          </w:tcPr>
          <w:p w14:paraId="7364AA6C">
            <w:pPr>
              <w:keepNext w:val="0"/>
              <w:keepLines w:val="0"/>
              <w:pageBreakBefore w:val="0"/>
              <w:widowControl/>
              <w:kinsoku/>
              <w:wordWrap/>
              <w:overflowPunct/>
              <w:topLinePunct w:val="0"/>
              <w:autoSpaceDE/>
              <w:autoSpaceDN/>
              <w:bidi w:val="0"/>
              <w:adjustRightInd/>
              <w:snapToGrid/>
              <w:spacing w:line="260" w:lineRule="exact"/>
              <w:textAlignment w:val="auto"/>
              <w:rPr>
                <w:rFonts w:ascii="Times New Roman" w:hAnsi="Times New Roman"/>
                <w:color w:val="000000"/>
                <w:spacing w:val="-6"/>
                <w:kern w:val="0"/>
                <w:sz w:val="21"/>
                <w:szCs w:val="21"/>
              </w:rPr>
            </w:pPr>
            <w:r>
              <w:rPr>
                <w:rFonts w:hint="eastAsia" w:ascii="Times New Roman" w:hAnsi="Times New Roman"/>
                <w:color w:val="000000"/>
                <w:spacing w:val="-6"/>
                <w:kern w:val="0"/>
                <w:sz w:val="21"/>
                <w:szCs w:val="21"/>
              </w:rPr>
              <w:t>300kN，跨距：8.1m，起吊行程24.2m</w:t>
            </w:r>
          </w:p>
        </w:tc>
        <w:tc>
          <w:tcPr>
            <w:tcW w:w="1522" w:type="dxa"/>
            <w:tcBorders>
              <w:top w:val="nil"/>
              <w:left w:val="nil"/>
              <w:bottom w:val="single" w:color="auto" w:sz="4" w:space="0"/>
              <w:right w:val="single" w:color="auto" w:sz="4" w:space="0"/>
            </w:tcBorders>
            <w:vAlign w:val="center"/>
          </w:tcPr>
          <w:p w14:paraId="26F305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r>
              <w:rPr>
                <w:rFonts w:hint="eastAsia" w:ascii="Times New Roman" w:hAnsi="Times New Roman"/>
                <w:color w:val="000000"/>
                <w:spacing w:val="-6"/>
                <w:kern w:val="0"/>
                <w:sz w:val="21"/>
                <w:szCs w:val="21"/>
              </w:rPr>
              <w:t>相关参数需出图纸由设计单位及建设单位确认</w:t>
            </w:r>
          </w:p>
        </w:tc>
        <w:tc>
          <w:tcPr>
            <w:tcW w:w="512" w:type="dxa"/>
            <w:tcBorders>
              <w:top w:val="nil"/>
              <w:left w:val="nil"/>
              <w:bottom w:val="single" w:color="auto" w:sz="4" w:space="0"/>
              <w:right w:val="single" w:color="auto" w:sz="4" w:space="0"/>
            </w:tcBorders>
            <w:vAlign w:val="center"/>
          </w:tcPr>
          <w:p w14:paraId="157758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r>
              <w:rPr>
                <w:rFonts w:hint="eastAsia" w:ascii="Times New Roman" w:hAnsi="Times New Roman"/>
                <w:color w:val="000000"/>
                <w:spacing w:val="-6"/>
                <w:kern w:val="0"/>
                <w:sz w:val="21"/>
                <w:szCs w:val="21"/>
              </w:rPr>
              <w:t>台套</w:t>
            </w:r>
          </w:p>
        </w:tc>
        <w:tc>
          <w:tcPr>
            <w:tcW w:w="554" w:type="dxa"/>
            <w:tcBorders>
              <w:top w:val="nil"/>
              <w:left w:val="nil"/>
              <w:bottom w:val="single" w:color="auto" w:sz="4" w:space="0"/>
              <w:right w:val="single" w:color="auto" w:sz="4" w:space="0"/>
            </w:tcBorders>
            <w:noWrap/>
            <w:vAlign w:val="center"/>
          </w:tcPr>
          <w:p w14:paraId="732942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r>
              <w:rPr>
                <w:rFonts w:hint="eastAsia" w:ascii="Times New Roman" w:hAnsi="Times New Roman"/>
                <w:color w:val="000000"/>
                <w:spacing w:val="-6"/>
                <w:kern w:val="0"/>
                <w:sz w:val="21"/>
                <w:szCs w:val="21"/>
              </w:rPr>
              <w:t>2</w:t>
            </w:r>
          </w:p>
        </w:tc>
        <w:tc>
          <w:tcPr>
            <w:tcW w:w="1007" w:type="dxa"/>
            <w:tcBorders>
              <w:top w:val="nil"/>
              <w:left w:val="nil"/>
              <w:bottom w:val="single" w:color="auto" w:sz="4" w:space="0"/>
              <w:right w:val="single" w:color="auto" w:sz="4" w:space="0"/>
            </w:tcBorders>
            <w:noWrap/>
            <w:vAlign w:val="center"/>
          </w:tcPr>
          <w:p w14:paraId="0FF1C2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p>
        </w:tc>
        <w:tc>
          <w:tcPr>
            <w:tcW w:w="1547" w:type="dxa"/>
            <w:tcBorders>
              <w:top w:val="nil"/>
              <w:left w:val="nil"/>
              <w:bottom w:val="single" w:color="auto" w:sz="4" w:space="0"/>
              <w:right w:val="single" w:color="auto" w:sz="4" w:space="0"/>
            </w:tcBorders>
            <w:noWrap/>
            <w:vAlign w:val="center"/>
          </w:tcPr>
          <w:p w14:paraId="4AF27A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p>
        </w:tc>
        <w:tc>
          <w:tcPr>
            <w:tcW w:w="1788" w:type="dxa"/>
            <w:tcBorders>
              <w:top w:val="nil"/>
              <w:left w:val="nil"/>
              <w:bottom w:val="single" w:color="auto" w:sz="4" w:space="0"/>
              <w:right w:val="single" w:color="auto" w:sz="4" w:space="0"/>
            </w:tcBorders>
            <w:vAlign w:val="center"/>
          </w:tcPr>
          <w:p w14:paraId="657609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themeColor="text1"/>
                <w:spacing w:val="-6"/>
                <w:kern w:val="0"/>
                <w:sz w:val="21"/>
                <w:szCs w:val="21"/>
              </w:rPr>
            </w:pPr>
            <w:r>
              <w:rPr>
                <w:rFonts w:hint="eastAsia" w:ascii="Times New Roman" w:hAnsi="Times New Roman"/>
                <w:color w:val="000000" w:themeColor="text1"/>
                <w:spacing w:val="-6"/>
                <w:kern w:val="0"/>
                <w:sz w:val="21"/>
                <w:szCs w:val="21"/>
              </w:rPr>
              <w:t>含安装及特种设备行业报验等</w:t>
            </w:r>
          </w:p>
        </w:tc>
      </w:tr>
      <w:tr w14:paraId="6A405750">
        <w:tblPrEx>
          <w:tblCellMar>
            <w:top w:w="0" w:type="dxa"/>
            <w:left w:w="23" w:type="dxa"/>
            <w:bottom w:w="0" w:type="dxa"/>
            <w:right w:w="23" w:type="dxa"/>
          </w:tblCellMar>
        </w:tblPrEx>
        <w:trPr>
          <w:trHeight w:val="425" w:hRule="atLeast"/>
          <w:jc w:val="center"/>
        </w:trPr>
        <w:tc>
          <w:tcPr>
            <w:tcW w:w="1788" w:type="dxa"/>
            <w:tcBorders>
              <w:top w:val="nil"/>
              <w:left w:val="single" w:color="auto" w:sz="4" w:space="0"/>
              <w:bottom w:val="single" w:color="auto" w:sz="4" w:space="0"/>
              <w:right w:val="single" w:color="auto" w:sz="4" w:space="0"/>
            </w:tcBorders>
            <w:vAlign w:val="center"/>
          </w:tcPr>
          <w:p w14:paraId="2CC2FA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r>
              <w:rPr>
                <w:rFonts w:hint="eastAsia" w:ascii="Times New Roman" w:hAnsi="Times New Roman"/>
                <w:color w:val="000000"/>
                <w:spacing w:val="-6"/>
                <w:kern w:val="0"/>
                <w:sz w:val="21"/>
                <w:szCs w:val="21"/>
              </w:rPr>
              <w:t>轨道</w:t>
            </w:r>
          </w:p>
        </w:tc>
        <w:tc>
          <w:tcPr>
            <w:tcW w:w="1170" w:type="dxa"/>
            <w:tcBorders>
              <w:top w:val="nil"/>
              <w:left w:val="nil"/>
              <w:bottom w:val="single" w:color="auto" w:sz="4" w:space="0"/>
              <w:right w:val="single" w:color="auto" w:sz="4" w:space="0"/>
            </w:tcBorders>
            <w:vAlign w:val="center"/>
          </w:tcPr>
          <w:p w14:paraId="0BB16B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r>
              <w:rPr>
                <w:rFonts w:hint="eastAsia" w:ascii="Times New Roman" w:hAnsi="Times New Roman"/>
                <w:color w:val="000000"/>
                <w:spacing w:val="-6"/>
                <w:kern w:val="0"/>
                <w:sz w:val="21"/>
                <w:szCs w:val="21"/>
              </w:rPr>
              <w:t>QU70</w:t>
            </w:r>
          </w:p>
        </w:tc>
        <w:tc>
          <w:tcPr>
            <w:tcW w:w="1522" w:type="dxa"/>
            <w:tcBorders>
              <w:top w:val="nil"/>
              <w:left w:val="nil"/>
              <w:bottom w:val="single" w:color="auto" w:sz="4" w:space="0"/>
              <w:right w:val="single" w:color="auto" w:sz="4" w:space="0"/>
            </w:tcBorders>
            <w:vAlign w:val="center"/>
          </w:tcPr>
          <w:p w14:paraId="363D54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p>
        </w:tc>
        <w:tc>
          <w:tcPr>
            <w:tcW w:w="512" w:type="dxa"/>
            <w:tcBorders>
              <w:top w:val="nil"/>
              <w:left w:val="nil"/>
              <w:bottom w:val="single" w:color="auto" w:sz="4" w:space="0"/>
              <w:right w:val="single" w:color="auto" w:sz="4" w:space="0"/>
            </w:tcBorders>
            <w:vAlign w:val="center"/>
          </w:tcPr>
          <w:p w14:paraId="53374F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r>
              <w:rPr>
                <w:rFonts w:hint="eastAsia" w:ascii="Times New Roman" w:hAnsi="Times New Roman"/>
                <w:color w:val="000000"/>
                <w:spacing w:val="-6"/>
                <w:kern w:val="0"/>
                <w:sz w:val="21"/>
                <w:szCs w:val="21"/>
              </w:rPr>
              <w:t>m</w:t>
            </w:r>
          </w:p>
        </w:tc>
        <w:tc>
          <w:tcPr>
            <w:tcW w:w="554" w:type="dxa"/>
            <w:tcBorders>
              <w:top w:val="nil"/>
              <w:left w:val="nil"/>
              <w:bottom w:val="single" w:color="auto" w:sz="4" w:space="0"/>
              <w:right w:val="single" w:color="auto" w:sz="4" w:space="0"/>
            </w:tcBorders>
            <w:noWrap/>
            <w:vAlign w:val="center"/>
          </w:tcPr>
          <w:p w14:paraId="091EB8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r>
              <w:rPr>
                <w:rFonts w:hint="eastAsia" w:ascii="Times New Roman" w:hAnsi="Times New Roman"/>
                <w:color w:val="000000"/>
                <w:spacing w:val="-6"/>
                <w:kern w:val="0"/>
                <w:sz w:val="21"/>
                <w:szCs w:val="21"/>
              </w:rPr>
              <w:t>300</w:t>
            </w:r>
          </w:p>
        </w:tc>
        <w:tc>
          <w:tcPr>
            <w:tcW w:w="1007" w:type="dxa"/>
            <w:tcBorders>
              <w:top w:val="nil"/>
              <w:left w:val="nil"/>
              <w:bottom w:val="single" w:color="auto" w:sz="4" w:space="0"/>
              <w:right w:val="single" w:color="auto" w:sz="4" w:space="0"/>
            </w:tcBorders>
            <w:noWrap/>
            <w:vAlign w:val="center"/>
          </w:tcPr>
          <w:p w14:paraId="43092B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p>
        </w:tc>
        <w:tc>
          <w:tcPr>
            <w:tcW w:w="1547" w:type="dxa"/>
            <w:tcBorders>
              <w:top w:val="nil"/>
              <w:left w:val="nil"/>
              <w:bottom w:val="single" w:color="auto" w:sz="4" w:space="0"/>
              <w:right w:val="single" w:color="auto" w:sz="4" w:space="0"/>
            </w:tcBorders>
            <w:noWrap/>
            <w:vAlign w:val="center"/>
          </w:tcPr>
          <w:p w14:paraId="2A50D0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p>
        </w:tc>
        <w:tc>
          <w:tcPr>
            <w:tcW w:w="1788" w:type="dxa"/>
            <w:tcBorders>
              <w:top w:val="nil"/>
              <w:left w:val="nil"/>
              <w:bottom w:val="single" w:color="auto" w:sz="4" w:space="0"/>
              <w:right w:val="single" w:color="auto" w:sz="4" w:space="0"/>
            </w:tcBorders>
            <w:vAlign w:val="center"/>
          </w:tcPr>
          <w:p w14:paraId="4DF1F0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r>
              <w:rPr>
                <w:rFonts w:hint="eastAsia" w:ascii="Times New Roman" w:hAnsi="Times New Roman"/>
                <w:color w:val="000000"/>
                <w:spacing w:val="-6"/>
                <w:kern w:val="0"/>
                <w:sz w:val="21"/>
                <w:szCs w:val="21"/>
              </w:rPr>
              <w:t>含安装（工程量以实际结算量为准）</w:t>
            </w:r>
          </w:p>
        </w:tc>
      </w:tr>
      <w:tr w14:paraId="388F1F31">
        <w:tblPrEx>
          <w:tblCellMar>
            <w:top w:w="0" w:type="dxa"/>
            <w:left w:w="23" w:type="dxa"/>
            <w:bottom w:w="0" w:type="dxa"/>
            <w:right w:w="23" w:type="dxa"/>
          </w:tblCellMar>
        </w:tblPrEx>
        <w:trPr>
          <w:trHeight w:val="425" w:hRule="atLeast"/>
          <w:jc w:val="center"/>
        </w:trPr>
        <w:tc>
          <w:tcPr>
            <w:tcW w:w="1788" w:type="dxa"/>
            <w:tcBorders>
              <w:top w:val="nil"/>
              <w:left w:val="single" w:color="auto" w:sz="4" w:space="0"/>
              <w:bottom w:val="single" w:color="auto" w:sz="4" w:space="0"/>
              <w:right w:val="single" w:color="auto" w:sz="4" w:space="0"/>
            </w:tcBorders>
            <w:vAlign w:val="center"/>
          </w:tcPr>
          <w:p w14:paraId="53EC86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r>
              <w:rPr>
                <w:rFonts w:hint="eastAsia" w:ascii="Times New Roman" w:hAnsi="Times New Roman"/>
                <w:color w:val="000000"/>
                <w:spacing w:val="-6"/>
                <w:kern w:val="0"/>
                <w:sz w:val="21"/>
                <w:szCs w:val="21"/>
              </w:rPr>
              <w:t>封闭滑触线</w:t>
            </w:r>
          </w:p>
        </w:tc>
        <w:tc>
          <w:tcPr>
            <w:tcW w:w="1170" w:type="dxa"/>
            <w:tcBorders>
              <w:top w:val="nil"/>
              <w:left w:val="nil"/>
              <w:bottom w:val="single" w:color="auto" w:sz="4" w:space="0"/>
              <w:right w:val="single" w:color="auto" w:sz="4" w:space="0"/>
            </w:tcBorders>
            <w:vAlign w:val="center"/>
          </w:tcPr>
          <w:p w14:paraId="57ECF2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p>
        </w:tc>
        <w:tc>
          <w:tcPr>
            <w:tcW w:w="1522" w:type="dxa"/>
            <w:tcBorders>
              <w:top w:val="nil"/>
              <w:left w:val="nil"/>
              <w:bottom w:val="single" w:color="auto" w:sz="4" w:space="0"/>
              <w:right w:val="single" w:color="auto" w:sz="4" w:space="0"/>
            </w:tcBorders>
            <w:vAlign w:val="center"/>
          </w:tcPr>
          <w:p w14:paraId="502A57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p>
        </w:tc>
        <w:tc>
          <w:tcPr>
            <w:tcW w:w="512" w:type="dxa"/>
            <w:tcBorders>
              <w:top w:val="nil"/>
              <w:left w:val="nil"/>
              <w:bottom w:val="single" w:color="auto" w:sz="4" w:space="0"/>
              <w:right w:val="single" w:color="auto" w:sz="4" w:space="0"/>
            </w:tcBorders>
            <w:vAlign w:val="center"/>
          </w:tcPr>
          <w:p w14:paraId="464A2F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r>
              <w:rPr>
                <w:rFonts w:hint="eastAsia" w:ascii="Times New Roman" w:hAnsi="Times New Roman"/>
                <w:color w:val="000000"/>
                <w:spacing w:val="-6"/>
                <w:kern w:val="0"/>
                <w:sz w:val="21"/>
                <w:szCs w:val="21"/>
              </w:rPr>
              <w:t>m</w:t>
            </w:r>
          </w:p>
        </w:tc>
        <w:tc>
          <w:tcPr>
            <w:tcW w:w="554" w:type="dxa"/>
            <w:tcBorders>
              <w:top w:val="nil"/>
              <w:left w:val="nil"/>
              <w:bottom w:val="single" w:color="auto" w:sz="4" w:space="0"/>
              <w:right w:val="single" w:color="auto" w:sz="4" w:space="0"/>
            </w:tcBorders>
            <w:noWrap/>
            <w:vAlign w:val="center"/>
          </w:tcPr>
          <w:p w14:paraId="5D6A62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r>
              <w:rPr>
                <w:rFonts w:hint="eastAsia" w:ascii="Times New Roman" w:hAnsi="Times New Roman"/>
                <w:color w:val="000000"/>
                <w:spacing w:val="-6"/>
                <w:kern w:val="0"/>
                <w:sz w:val="21"/>
                <w:szCs w:val="21"/>
              </w:rPr>
              <w:t>150</w:t>
            </w:r>
          </w:p>
        </w:tc>
        <w:tc>
          <w:tcPr>
            <w:tcW w:w="1007" w:type="dxa"/>
            <w:tcBorders>
              <w:top w:val="nil"/>
              <w:left w:val="nil"/>
              <w:bottom w:val="single" w:color="auto" w:sz="4" w:space="0"/>
              <w:right w:val="single" w:color="auto" w:sz="4" w:space="0"/>
            </w:tcBorders>
            <w:noWrap/>
            <w:vAlign w:val="center"/>
          </w:tcPr>
          <w:p w14:paraId="45DAA1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p>
        </w:tc>
        <w:tc>
          <w:tcPr>
            <w:tcW w:w="1547" w:type="dxa"/>
            <w:tcBorders>
              <w:top w:val="nil"/>
              <w:left w:val="nil"/>
              <w:bottom w:val="single" w:color="auto" w:sz="4" w:space="0"/>
              <w:right w:val="single" w:color="auto" w:sz="4" w:space="0"/>
            </w:tcBorders>
            <w:noWrap/>
            <w:vAlign w:val="center"/>
          </w:tcPr>
          <w:p w14:paraId="1A9997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p>
        </w:tc>
        <w:tc>
          <w:tcPr>
            <w:tcW w:w="1788" w:type="dxa"/>
            <w:tcBorders>
              <w:top w:val="nil"/>
              <w:left w:val="nil"/>
              <w:bottom w:val="single" w:color="auto" w:sz="4" w:space="0"/>
              <w:right w:val="single" w:color="auto" w:sz="4" w:space="0"/>
            </w:tcBorders>
            <w:vAlign w:val="center"/>
          </w:tcPr>
          <w:p w14:paraId="289E82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spacing w:val="-6"/>
                <w:kern w:val="0"/>
                <w:sz w:val="21"/>
                <w:szCs w:val="21"/>
              </w:rPr>
            </w:pPr>
            <w:r>
              <w:rPr>
                <w:rFonts w:hint="eastAsia" w:ascii="Times New Roman" w:hAnsi="Times New Roman"/>
                <w:color w:val="000000"/>
                <w:spacing w:val="-6"/>
                <w:kern w:val="0"/>
                <w:sz w:val="21"/>
                <w:szCs w:val="21"/>
              </w:rPr>
              <w:t>含安装（工程量以实际结算量为准）</w:t>
            </w:r>
          </w:p>
        </w:tc>
      </w:tr>
      <w:tr w14:paraId="68BDA099">
        <w:tblPrEx>
          <w:tblCellMar>
            <w:top w:w="0" w:type="dxa"/>
            <w:left w:w="23" w:type="dxa"/>
            <w:bottom w:w="0" w:type="dxa"/>
            <w:right w:w="23" w:type="dxa"/>
          </w:tblCellMar>
        </w:tblPrEx>
        <w:trPr>
          <w:trHeight w:val="425" w:hRule="atLeast"/>
          <w:jc w:val="center"/>
        </w:trPr>
        <w:tc>
          <w:tcPr>
            <w:tcW w:w="6553" w:type="dxa"/>
            <w:gridSpan w:val="6"/>
            <w:tcBorders>
              <w:top w:val="single" w:color="auto" w:sz="4" w:space="0"/>
              <w:left w:val="single" w:color="auto" w:sz="4" w:space="0"/>
              <w:bottom w:val="single" w:color="auto" w:sz="4" w:space="0"/>
              <w:right w:val="single" w:color="auto" w:sz="4" w:space="0"/>
            </w:tcBorders>
            <w:vAlign w:val="center"/>
          </w:tcPr>
          <w:p w14:paraId="0E5854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color w:val="000000"/>
                <w:kern w:val="0"/>
                <w:sz w:val="21"/>
                <w:szCs w:val="21"/>
              </w:rPr>
            </w:pPr>
            <w:r>
              <w:rPr>
                <w:rFonts w:ascii="Times New Roman" w:hAnsi="Times New Roman"/>
                <w:color w:val="000000"/>
                <w:kern w:val="0"/>
                <w:sz w:val="21"/>
                <w:szCs w:val="21"/>
              </w:rPr>
              <w:t>合计（人民币大写）：</w:t>
            </w:r>
          </w:p>
        </w:tc>
        <w:tc>
          <w:tcPr>
            <w:tcW w:w="1547" w:type="dxa"/>
            <w:tcBorders>
              <w:top w:val="single" w:color="auto" w:sz="4" w:space="0"/>
              <w:left w:val="single" w:color="auto" w:sz="4" w:space="0"/>
              <w:bottom w:val="single" w:color="auto" w:sz="4" w:space="0"/>
              <w:right w:val="single" w:color="auto" w:sz="4" w:space="0"/>
            </w:tcBorders>
            <w:vAlign w:val="center"/>
          </w:tcPr>
          <w:p w14:paraId="2AEE1D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090F50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 w:val="21"/>
                <w:szCs w:val="21"/>
              </w:rPr>
            </w:pPr>
          </w:p>
        </w:tc>
      </w:tr>
    </w:tbl>
    <w:p w14:paraId="7B935758">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以上报价</w:t>
      </w:r>
      <w:r>
        <w:rPr>
          <w:rFonts w:ascii="Times New Roman" w:hAnsi="Times New Roman"/>
          <w:sz w:val="24"/>
          <w:szCs w:val="24"/>
        </w:rPr>
        <w:t>为</w:t>
      </w:r>
      <w:r>
        <w:rPr>
          <w:rFonts w:hint="eastAsia" w:ascii="Times New Roman" w:hAnsi="Times New Roman"/>
          <w:sz w:val="24"/>
          <w:szCs w:val="24"/>
        </w:rPr>
        <w:t>我方</w:t>
      </w:r>
      <w:r>
        <w:rPr>
          <w:rFonts w:ascii="Times New Roman" w:hAnsi="Times New Roman"/>
          <w:sz w:val="24"/>
          <w:szCs w:val="24"/>
        </w:rPr>
        <w:t>送货到贵公司工地指定地点的价格，报价中均包含</w:t>
      </w:r>
      <w:r>
        <w:rPr>
          <w:rFonts w:hint="eastAsia" w:ascii="Times New Roman" w:hAnsi="Times New Roman"/>
          <w:sz w:val="24"/>
          <w:szCs w:val="24"/>
        </w:rPr>
        <w:t>（但不限于）</w:t>
      </w:r>
      <w:r>
        <w:rPr>
          <w:rFonts w:ascii="Times New Roman" w:hAnsi="Times New Roman"/>
          <w:sz w:val="24"/>
          <w:szCs w:val="24"/>
        </w:rPr>
        <w:t>货款、运输、</w:t>
      </w:r>
      <w:r>
        <w:rPr>
          <w:rFonts w:hint="eastAsia" w:ascii="Times New Roman" w:hAnsi="Times New Roman"/>
          <w:sz w:val="24"/>
          <w:szCs w:val="24"/>
        </w:rPr>
        <w:t>安装、特种设备报检、</w:t>
      </w:r>
      <w:r>
        <w:rPr>
          <w:rFonts w:ascii="Times New Roman" w:hAnsi="Times New Roman"/>
          <w:sz w:val="24"/>
          <w:szCs w:val="24"/>
        </w:rPr>
        <w:t>利润、税费等一切费用，并包含货物装车</w:t>
      </w:r>
      <w:r>
        <w:rPr>
          <w:rFonts w:hint="eastAsia" w:ascii="Times New Roman" w:hAnsi="Times New Roman"/>
          <w:sz w:val="24"/>
          <w:szCs w:val="24"/>
        </w:rPr>
        <w:t>、</w:t>
      </w:r>
      <w:r>
        <w:rPr>
          <w:rFonts w:ascii="Times New Roman" w:hAnsi="Times New Roman"/>
          <w:sz w:val="24"/>
          <w:szCs w:val="24"/>
        </w:rPr>
        <w:t>运输及全过程中的安全、保险、措施等费用以及如发生安全事故导致的损失和赔偿费用，提供</w:t>
      </w:r>
      <w:r>
        <w:rPr>
          <w:rFonts w:hint="eastAsia" w:ascii="Times New Roman" w:hAnsi="Times New Roman"/>
          <w:sz w:val="24"/>
          <w:szCs w:val="24"/>
        </w:rPr>
        <w:t>13%的</w:t>
      </w:r>
      <w:r>
        <w:rPr>
          <w:rFonts w:ascii="Times New Roman" w:hAnsi="Times New Roman"/>
          <w:sz w:val="24"/>
          <w:szCs w:val="24"/>
        </w:rPr>
        <w:t>增值税专用发票，</w:t>
      </w:r>
      <w:r>
        <w:rPr>
          <w:rFonts w:hint="eastAsia" w:ascii="Times New Roman" w:hAnsi="Times New Roman"/>
          <w:sz w:val="24"/>
          <w:szCs w:val="24"/>
        </w:rPr>
        <w:t>我方</w:t>
      </w:r>
      <w:r>
        <w:rPr>
          <w:rFonts w:ascii="Times New Roman" w:hAnsi="Times New Roman"/>
          <w:sz w:val="24"/>
          <w:szCs w:val="24"/>
        </w:rPr>
        <w:t>不以任何理由额外索取</w:t>
      </w:r>
      <w:r>
        <w:rPr>
          <w:rFonts w:hint="eastAsia" w:ascii="Times New Roman" w:hAnsi="Times New Roman"/>
          <w:sz w:val="24"/>
          <w:szCs w:val="24"/>
        </w:rPr>
        <w:t>任何</w:t>
      </w:r>
      <w:r>
        <w:rPr>
          <w:rFonts w:ascii="Times New Roman" w:hAnsi="Times New Roman"/>
          <w:sz w:val="24"/>
          <w:szCs w:val="24"/>
        </w:rPr>
        <w:t>费用。</w:t>
      </w:r>
      <w:r>
        <w:rPr>
          <w:rFonts w:ascii="Times New Roman" w:hAnsi="Times New Roman"/>
          <w:bCs/>
          <w:sz w:val="24"/>
          <w:szCs w:val="24"/>
        </w:rPr>
        <w:t>投标单价为固定单价，供应期及供应量内单价不随市场价格变动而调整。</w:t>
      </w:r>
    </w:p>
    <w:p w14:paraId="6C75889B">
      <w:pPr>
        <w:keepNext w:val="0"/>
        <w:keepLines w:val="0"/>
        <w:pageBreakBefore w:val="0"/>
        <w:widowControl w:val="0"/>
        <w:shd w:val="clear" w:color="auto" w:fill="FFFFFF"/>
        <w:kinsoku/>
        <w:wordWrap/>
        <w:overflowPunct/>
        <w:topLinePunct w:val="0"/>
        <w:autoSpaceDE/>
        <w:autoSpaceDN/>
        <w:bidi w:val="0"/>
        <w:spacing w:line="300" w:lineRule="auto"/>
        <w:ind w:firstLine="480" w:firstLineChars="200"/>
        <w:textAlignment w:val="auto"/>
        <w:rPr>
          <w:rFonts w:ascii="Times New Roman" w:hAnsi="Times New Roman"/>
          <w:sz w:val="24"/>
          <w:szCs w:val="24"/>
        </w:rPr>
      </w:pPr>
      <w:r>
        <w:rPr>
          <w:rFonts w:hint="eastAsia" w:ascii="Times New Roman" w:hAnsi="Times New Roman"/>
          <w:sz w:val="24"/>
          <w:szCs w:val="24"/>
          <w:lang w:val="en-US" w:eastAsia="zh-CN"/>
        </w:rPr>
        <w:t>2</w:t>
      </w:r>
      <w:r>
        <w:rPr>
          <w:rFonts w:ascii="Times New Roman" w:hAnsi="Times New Roman"/>
          <w:sz w:val="24"/>
          <w:szCs w:val="24"/>
        </w:rPr>
        <w:t>、我方承诺：1）我方提供的</w:t>
      </w:r>
      <w:r>
        <w:rPr>
          <w:rFonts w:hint="eastAsia" w:ascii="Times New Roman" w:hAnsi="Times New Roman"/>
          <w:sz w:val="24"/>
          <w:szCs w:val="24"/>
        </w:rPr>
        <w:t>桥式起重机</w:t>
      </w:r>
      <w:r>
        <w:rPr>
          <w:rFonts w:ascii="Times New Roman" w:hAnsi="Times New Roman"/>
          <w:sz w:val="24"/>
          <w:szCs w:val="24"/>
        </w:rPr>
        <w:t>各项技术指标符合</w:t>
      </w:r>
      <w:r>
        <w:rPr>
          <w:rFonts w:hint="eastAsia" w:ascii="Times New Roman" w:hAnsi="Times New Roman"/>
          <w:sz w:val="24"/>
          <w:szCs w:val="24"/>
        </w:rPr>
        <w:t>国家相关行业</w:t>
      </w:r>
      <w:r>
        <w:rPr>
          <w:rFonts w:ascii="Times New Roman" w:hAnsi="Times New Roman"/>
          <w:sz w:val="24"/>
          <w:szCs w:val="24"/>
        </w:rPr>
        <w:t>规定及相关规范要求。</w:t>
      </w:r>
      <w:r>
        <w:rPr>
          <w:rFonts w:ascii="Times New Roman" w:hAnsi="Times New Roman"/>
          <w:bCs/>
          <w:sz w:val="24"/>
          <w:szCs w:val="24"/>
        </w:rPr>
        <w:t>供应过程中如有</w:t>
      </w:r>
      <w:r>
        <w:rPr>
          <w:rFonts w:ascii="Times New Roman" w:hAnsi="Times New Roman"/>
          <w:bCs/>
          <w:spacing w:val="-6"/>
          <w:sz w:val="24"/>
          <w:szCs w:val="24"/>
        </w:rPr>
        <w:t>以次充好弄虚作假的现象的</w:t>
      </w:r>
      <w:r>
        <w:rPr>
          <w:rFonts w:ascii="Times New Roman" w:hAnsi="Times New Roman"/>
          <w:bCs/>
          <w:sz w:val="24"/>
          <w:szCs w:val="24"/>
        </w:rPr>
        <w:t>贵公司可没收我方履约保证金，同时我方愿意承担</w:t>
      </w:r>
      <w:r>
        <w:rPr>
          <w:rFonts w:hint="eastAsia" w:ascii="Times New Roman" w:hAnsi="Times New Roman"/>
          <w:bCs/>
          <w:sz w:val="24"/>
          <w:szCs w:val="24"/>
        </w:rPr>
        <w:t>叁拾</w:t>
      </w:r>
      <w:r>
        <w:rPr>
          <w:rFonts w:ascii="Times New Roman" w:hAnsi="Times New Roman"/>
          <w:bCs/>
          <w:sz w:val="24"/>
          <w:szCs w:val="24"/>
        </w:rPr>
        <w:t>万元诚信违约金</w:t>
      </w:r>
      <w:r>
        <w:rPr>
          <w:rFonts w:ascii="Times New Roman" w:hAnsi="Times New Roman"/>
          <w:sz w:val="24"/>
          <w:szCs w:val="24"/>
        </w:rPr>
        <w:t>。造成贵公司相关损失的（包括但不限于工程产品报废、返工返修、工期延误、鉴定费、律师费、诉讼费、差旅费等费用和损失），我方自愿赔偿贵公司一切损失，并承担相关责任。</w:t>
      </w:r>
    </w:p>
    <w:p w14:paraId="11C59AFD">
      <w:pPr>
        <w:keepNext w:val="0"/>
        <w:keepLines w:val="0"/>
        <w:pageBreakBefore w:val="0"/>
        <w:widowControl w:val="0"/>
        <w:kinsoku/>
        <w:wordWrap/>
        <w:overflowPunct/>
        <w:topLinePunct w:val="0"/>
        <w:autoSpaceDE/>
        <w:autoSpaceDN/>
        <w:bidi w:val="0"/>
        <w:adjustRightInd w:val="0"/>
        <w:snapToGrid w:val="0"/>
        <w:spacing w:line="300" w:lineRule="auto"/>
        <w:ind w:left="40" w:firstLine="480" w:firstLineChars="200"/>
        <w:textAlignment w:val="auto"/>
        <w:rPr>
          <w:rFonts w:ascii="Times New Roman" w:hAnsi="Times New Roman"/>
          <w:sz w:val="24"/>
          <w:szCs w:val="24"/>
        </w:rPr>
      </w:pPr>
      <w:r>
        <w:rPr>
          <w:rFonts w:hint="eastAsia" w:ascii="Times New Roman" w:hAnsi="Times New Roman"/>
          <w:sz w:val="24"/>
          <w:szCs w:val="24"/>
          <w:lang w:val="en-US" w:eastAsia="zh-CN"/>
        </w:rPr>
        <w:t>3</w:t>
      </w:r>
      <w:r>
        <w:rPr>
          <w:rFonts w:ascii="Times New Roman" w:hAnsi="Times New Roman"/>
          <w:sz w:val="24"/>
          <w:szCs w:val="24"/>
        </w:rPr>
        <w:t>、我方接受贵公司招标公告中列明的付款方式和付款条件，收款前我方提供加盖财务专用章的收款收据。</w:t>
      </w:r>
    </w:p>
    <w:p w14:paraId="554DE994">
      <w:pPr>
        <w:keepNext w:val="0"/>
        <w:keepLines w:val="0"/>
        <w:pageBreakBefore w:val="0"/>
        <w:widowControl w:val="0"/>
        <w:kinsoku/>
        <w:wordWrap/>
        <w:overflowPunct/>
        <w:topLinePunct w:val="0"/>
        <w:autoSpaceDE/>
        <w:autoSpaceDN/>
        <w:bidi w:val="0"/>
        <w:adjustRightInd w:val="0"/>
        <w:snapToGrid w:val="0"/>
        <w:spacing w:line="300" w:lineRule="auto"/>
        <w:ind w:left="40" w:firstLine="480" w:firstLineChars="200"/>
        <w:textAlignment w:val="auto"/>
        <w:rPr>
          <w:rFonts w:ascii="Times New Roman" w:hAnsi="Times New Roman"/>
          <w:bCs/>
          <w:sz w:val="24"/>
          <w:szCs w:val="24"/>
        </w:rPr>
      </w:pPr>
      <w:r>
        <w:rPr>
          <w:rFonts w:hint="eastAsia" w:ascii="Times New Roman" w:hAnsi="Times New Roman"/>
          <w:bCs/>
          <w:sz w:val="24"/>
          <w:szCs w:val="24"/>
          <w:lang w:val="en-US" w:eastAsia="zh-CN"/>
        </w:rPr>
        <w:t>4</w:t>
      </w:r>
      <w:r>
        <w:rPr>
          <w:rFonts w:ascii="Times New Roman" w:hAnsi="Times New Roman"/>
          <w:bCs/>
          <w:sz w:val="24"/>
          <w:szCs w:val="24"/>
        </w:rPr>
        <w:t>、我方派专人为贵公司项目部提供服务，包括但不限于</w:t>
      </w:r>
      <w:r>
        <w:rPr>
          <w:rFonts w:hint="eastAsia" w:ascii="Times New Roman" w:hAnsi="Times New Roman"/>
          <w:sz w:val="24"/>
          <w:szCs w:val="24"/>
        </w:rPr>
        <w:t>桥式起重机</w:t>
      </w:r>
      <w:r>
        <w:rPr>
          <w:rFonts w:ascii="Times New Roman" w:hAnsi="Times New Roman"/>
          <w:bCs/>
          <w:sz w:val="24"/>
          <w:szCs w:val="24"/>
        </w:rPr>
        <w:t>供货计划的接收、供货的协调、收货签单的核对、办理结算等。人员费用已考虑在投标报价中。</w:t>
      </w:r>
    </w:p>
    <w:p w14:paraId="6EBD70A9">
      <w:pPr>
        <w:keepNext w:val="0"/>
        <w:keepLines w:val="0"/>
        <w:pageBreakBefore w:val="0"/>
        <w:widowControl w:val="0"/>
        <w:kinsoku/>
        <w:wordWrap/>
        <w:overflowPunct/>
        <w:topLinePunct w:val="0"/>
        <w:autoSpaceDE/>
        <w:autoSpaceDN/>
        <w:bidi w:val="0"/>
        <w:adjustRightInd w:val="0"/>
        <w:snapToGrid w:val="0"/>
        <w:spacing w:line="300" w:lineRule="auto"/>
        <w:ind w:left="40" w:firstLine="480" w:firstLineChars="200"/>
        <w:textAlignment w:val="auto"/>
      </w:pPr>
      <w:r>
        <w:rPr>
          <w:rFonts w:hint="eastAsia" w:ascii="Times New Roman" w:hAnsi="Times New Roman"/>
          <w:color w:val="000000"/>
          <w:sz w:val="24"/>
          <w:szCs w:val="21"/>
          <w:lang w:val="en-US" w:eastAsia="zh-CN"/>
        </w:rPr>
        <w:t>5</w:t>
      </w:r>
      <w:r>
        <w:rPr>
          <w:rFonts w:hint="eastAsia" w:ascii="Times New Roman" w:hAnsi="Times New Roman"/>
          <w:color w:val="000000"/>
          <w:sz w:val="24"/>
          <w:szCs w:val="21"/>
        </w:rPr>
        <w:t>、</w:t>
      </w:r>
      <w:r>
        <w:rPr>
          <w:rFonts w:ascii="Times New Roman" w:hAnsi="Times New Roman"/>
          <w:color w:val="000000"/>
          <w:sz w:val="24"/>
          <w:szCs w:val="21"/>
        </w:rPr>
        <w:t>报价表除</w:t>
      </w:r>
      <w:r>
        <w:rPr>
          <w:rFonts w:ascii="Times New Roman" w:hAnsi="Times New Roman"/>
          <w:bCs/>
          <w:sz w:val="24"/>
          <w:szCs w:val="24"/>
        </w:rPr>
        <w:t>盖章</w:t>
      </w:r>
      <w:r>
        <w:rPr>
          <w:rFonts w:ascii="Times New Roman" w:hAnsi="Times New Roman"/>
          <w:color w:val="000000"/>
          <w:sz w:val="24"/>
          <w:szCs w:val="21"/>
        </w:rPr>
        <w:t>扫描上传外，另外再上传一份</w:t>
      </w:r>
      <w:r>
        <w:rPr>
          <w:rFonts w:hint="eastAsia" w:ascii="Times New Roman" w:hAnsi="Times New Roman"/>
          <w:color w:val="000000"/>
          <w:sz w:val="24"/>
          <w:szCs w:val="21"/>
        </w:rPr>
        <w:t>Excel</w:t>
      </w:r>
      <w:r>
        <w:rPr>
          <w:rFonts w:ascii="Times New Roman" w:hAnsi="Times New Roman"/>
          <w:b/>
          <w:bCs/>
          <w:color w:val="FF0000"/>
          <w:sz w:val="24"/>
          <w:szCs w:val="21"/>
        </w:rPr>
        <w:t>电子表格</w:t>
      </w:r>
      <w:r>
        <w:rPr>
          <w:rFonts w:hint="eastAsia" w:ascii="Times New Roman" w:hAnsi="Times New Roman"/>
          <w:b/>
          <w:bCs/>
          <w:color w:val="FF0000"/>
          <w:sz w:val="24"/>
          <w:szCs w:val="21"/>
        </w:rPr>
        <w:t>文件</w:t>
      </w:r>
      <w:r>
        <w:rPr>
          <w:rFonts w:ascii="Times New Roman" w:hAnsi="Times New Roman"/>
          <w:color w:val="000000"/>
          <w:sz w:val="24"/>
          <w:szCs w:val="21"/>
        </w:rPr>
        <w:t>便于核对</w:t>
      </w:r>
      <w:r>
        <w:rPr>
          <w:rFonts w:hint="eastAsia" w:ascii="Times New Roman" w:hAnsi="Times New Roman"/>
          <w:color w:val="000000"/>
          <w:sz w:val="24"/>
          <w:szCs w:val="21"/>
        </w:rPr>
        <w:t>。</w:t>
      </w:r>
    </w:p>
    <w:p w14:paraId="2CE5CB2F">
      <w:pPr>
        <w:keepNext w:val="0"/>
        <w:keepLines w:val="0"/>
        <w:pageBreakBefore w:val="0"/>
        <w:widowControl w:val="0"/>
        <w:kinsoku/>
        <w:wordWrap/>
        <w:overflowPunct/>
        <w:topLinePunct w:val="0"/>
        <w:autoSpaceDE/>
        <w:autoSpaceDN/>
        <w:bidi w:val="0"/>
        <w:adjustRightInd w:val="0"/>
        <w:snapToGrid w:val="0"/>
        <w:spacing w:line="300" w:lineRule="auto"/>
        <w:ind w:left="40" w:firstLine="480" w:firstLineChars="200"/>
        <w:textAlignment w:val="auto"/>
        <w:rPr>
          <w:rFonts w:ascii="Times New Roman" w:hAnsi="Times New Roman"/>
          <w:bCs/>
          <w:sz w:val="24"/>
          <w:szCs w:val="24"/>
        </w:rPr>
      </w:pPr>
      <w:r>
        <w:rPr>
          <w:rFonts w:hint="eastAsia" w:ascii="Times New Roman" w:hAnsi="Times New Roman"/>
          <w:bCs/>
          <w:sz w:val="24"/>
          <w:szCs w:val="24"/>
          <w:lang w:val="en-US" w:eastAsia="zh-CN"/>
        </w:rPr>
        <w:t>6</w:t>
      </w:r>
      <w:r>
        <w:rPr>
          <w:rFonts w:ascii="Times New Roman" w:hAnsi="Times New Roman"/>
          <w:bCs/>
          <w:sz w:val="24"/>
          <w:szCs w:val="24"/>
        </w:rPr>
        <w:t>、其他特别优惠或服务的内容（</w:t>
      </w:r>
      <w:r>
        <w:rPr>
          <w:bCs/>
          <w:sz w:val="24"/>
          <w:szCs w:val="24"/>
        </w:rPr>
        <w:t>没有的可不填写，也可另附说明并加盖公章</w:t>
      </w:r>
      <w:r>
        <w:rPr>
          <w:rFonts w:hint="eastAsia"/>
          <w:bCs/>
          <w:color w:val="000000" w:themeColor="text1"/>
          <w:sz w:val="24"/>
          <w:szCs w:val="24"/>
        </w:rPr>
        <w:t>，</w:t>
      </w:r>
      <w:r>
        <w:rPr>
          <w:bCs/>
          <w:color w:val="FF0000"/>
          <w:sz w:val="24"/>
          <w:szCs w:val="24"/>
        </w:rPr>
        <w:t>另附说明的需在本处提示</w:t>
      </w:r>
      <w:r>
        <w:rPr>
          <w:rFonts w:ascii="Times New Roman" w:hAnsi="Times New Roman"/>
          <w:bCs/>
          <w:sz w:val="24"/>
          <w:szCs w:val="24"/>
        </w:rPr>
        <w:t>）：</w:t>
      </w:r>
    </w:p>
    <w:p w14:paraId="2CCD3E14">
      <w:pPr>
        <w:keepNext w:val="0"/>
        <w:keepLines w:val="0"/>
        <w:pageBreakBefore w:val="0"/>
        <w:widowControl w:val="0"/>
        <w:kinsoku/>
        <w:wordWrap/>
        <w:overflowPunct/>
        <w:topLinePunct w:val="0"/>
        <w:autoSpaceDE/>
        <w:autoSpaceDN/>
        <w:bidi w:val="0"/>
        <w:adjustRightInd w:val="0"/>
        <w:snapToGrid w:val="0"/>
        <w:spacing w:line="300" w:lineRule="auto"/>
        <w:ind w:left="40" w:firstLine="480"/>
        <w:textAlignment w:val="auto"/>
        <w:rPr>
          <w:rFonts w:ascii="Times New Roman" w:hAnsi="Times New Roman"/>
          <w:bCs/>
          <w:sz w:val="24"/>
          <w:szCs w:val="24"/>
        </w:rPr>
      </w:pPr>
    </w:p>
    <w:p w14:paraId="51C00CDD">
      <w:pPr>
        <w:keepNext w:val="0"/>
        <w:keepLines w:val="0"/>
        <w:pageBreakBefore w:val="0"/>
        <w:widowControl w:val="0"/>
        <w:kinsoku/>
        <w:wordWrap/>
        <w:overflowPunct/>
        <w:topLinePunct w:val="0"/>
        <w:autoSpaceDE/>
        <w:autoSpaceDN/>
        <w:bidi w:val="0"/>
        <w:adjustRightInd w:val="0"/>
        <w:snapToGrid w:val="0"/>
        <w:spacing w:line="300" w:lineRule="auto"/>
        <w:ind w:left="40" w:firstLine="4800" w:firstLineChars="2000"/>
        <w:textAlignment w:val="auto"/>
        <w:rPr>
          <w:rFonts w:ascii="Times New Roman" w:hAnsi="Times New Roman"/>
          <w:sz w:val="24"/>
          <w:szCs w:val="24"/>
        </w:rPr>
      </w:pPr>
    </w:p>
    <w:p w14:paraId="4F42B764">
      <w:pPr>
        <w:keepNext w:val="0"/>
        <w:keepLines w:val="0"/>
        <w:pageBreakBefore w:val="0"/>
        <w:widowControl w:val="0"/>
        <w:kinsoku/>
        <w:wordWrap/>
        <w:overflowPunct/>
        <w:topLinePunct w:val="0"/>
        <w:autoSpaceDE/>
        <w:autoSpaceDN/>
        <w:bidi w:val="0"/>
        <w:adjustRightInd w:val="0"/>
        <w:snapToGrid w:val="0"/>
        <w:spacing w:line="300" w:lineRule="auto"/>
        <w:ind w:left="40" w:firstLine="4800" w:firstLineChars="2000"/>
        <w:textAlignment w:val="auto"/>
        <w:rPr>
          <w:rFonts w:ascii="Times New Roman" w:hAnsi="Times New Roman"/>
          <w:sz w:val="24"/>
          <w:szCs w:val="24"/>
        </w:rPr>
      </w:pPr>
      <w:r>
        <w:rPr>
          <w:rFonts w:ascii="Times New Roman" w:hAnsi="Times New Roman"/>
          <w:sz w:val="24"/>
          <w:szCs w:val="24"/>
        </w:rPr>
        <w:t>投标人：（盖章）</w:t>
      </w:r>
    </w:p>
    <w:p w14:paraId="6ACB1377">
      <w:pPr>
        <w:keepNext w:val="0"/>
        <w:keepLines w:val="0"/>
        <w:pageBreakBefore w:val="0"/>
        <w:widowControl w:val="0"/>
        <w:kinsoku/>
        <w:wordWrap/>
        <w:overflowPunct/>
        <w:topLinePunct w:val="0"/>
        <w:autoSpaceDE/>
        <w:autoSpaceDN/>
        <w:bidi w:val="0"/>
        <w:adjustRightInd w:val="0"/>
        <w:snapToGrid w:val="0"/>
        <w:spacing w:line="300" w:lineRule="auto"/>
        <w:ind w:left="40" w:firstLine="4800" w:firstLineChars="2000"/>
        <w:textAlignment w:val="auto"/>
        <w:rPr>
          <w:rFonts w:ascii="Times New Roman" w:hAnsi="Times New Roman"/>
          <w:sz w:val="18"/>
          <w:szCs w:val="18"/>
        </w:rPr>
      </w:pPr>
      <w:r>
        <w:rPr>
          <w:rFonts w:ascii="Times New Roman" w:hAnsi="Times New Roman"/>
          <w:sz w:val="24"/>
          <w:szCs w:val="24"/>
        </w:rPr>
        <w:t>日 期：  年  月</w:t>
      </w:r>
      <w:r>
        <w:rPr>
          <w:rFonts w:hint="eastAsia" w:ascii="Times New Roman" w:hAnsi="Times New Roman"/>
          <w:sz w:val="24"/>
          <w:szCs w:val="24"/>
        </w:rPr>
        <w:t>日</w:t>
      </w:r>
      <w:r>
        <w:rPr>
          <w:rFonts w:ascii="Times New Roman" w:hAnsi="Times New Roman"/>
          <w:sz w:val="18"/>
          <w:szCs w:val="18"/>
        </w:rPr>
        <w:br w:type="page"/>
      </w:r>
    </w:p>
    <w:p w14:paraId="0216EB15">
      <w:pPr>
        <w:ind w:firstLine="361"/>
        <w:rPr>
          <w:b/>
          <w:sz w:val="18"/>
          <w:szCs w:val="18"/>
        </w:rPr>
      </w:pPr>
      <w:r>
        <w:rPr>
          <w:b/>
          <w:sz w:val="18"/>
          <w:szCs w:val="18"/>
        </w:rPr>
        <w:t>附件4：法定代表人资格证明书</w:t>
      </w:r>
    </w:p>
    <w:p w14:paraId="7B9570D1">
      <w:pPr>
        <w:adjustRightInd w:val="0"/>
        <w:snapToGrid w:val="0"/>
        <w:ind w:firstLine="360"/>
        <w:rPr>
          <w:sz w:val="18"/>
          <w:szCs w:val="18"/>
        </w:rPr>
      </w:pPr>
    </w:p>
    <w:p w14:paraId="6478A864">
      <w:pPr>
        <w:adjustRightInd w:val="0"/>
        <w:snapToGrid w:val="0"/>
        <w:jc w:val="center"/>
        <w:rPr>
          <w:b/>
          <w:bCs/>
          <w:sz w:val="32"/>
          <w:szCs w:val="32"/>
        </w:rPr>
      </w:pPr>
    </w:p>
    <w:p w14:paraId="75866BDA">
      <w:pPr>
        <w:adjustRightInd w:val="0"/>
        <w:snapToGrid w:val="0"/>
        <w:jc w:val="center"/>
        <w:rPr>
          <w:b/>
          <w:bCs/>
          <w:sz w:val="32"/>
          <w:szCs w:val="32"/>
        </w:rPr>
      </w:pPr>
      <w:r>
        <w:rPr>
          <w:b/>
          <w:bCs/>
          <w:sz w:val="32"/>
          <w:szCs w:val="32"/>
        </w:rPr>
        <w:t>法定代表人资格证明书</w:t>
      </w:r>
    </w:p>
    <w:p w14:paraId="07D80E75">
      <w:pPr>
        <w:pStyle w:val="10"/>
        <w:adjustRightInd w:val="0"/>
        <w:snapToGrid w:val="0"/>
        <w:ind w:firstLine="360" w:firstLineChars="200"/>
        <w:rPr>
          <w:rFonts w:ascii="Times New Roman" w:hAnsi="Times New Roman" w:cs="Times New Roman"/>
          <w:sz w:val="18"/>
          <w:szCs w:val="18"/>
        </w:rPr>
      </w:pPr>
    </w:p>
    <w:p w14:paraId="23EEF470">
      <w:pPr>
        <w:pStyle w:val="10"/>
        <w:adjustRightInd w:val="0"/>
        <w:snapToGrid w:val="0"/>
        <w:spacing w:line="360" w:lineRule="auto"/>
        <w:rPr>
          <w:rFonts w:ascii="Times New Roman" w:hAnsi="Times New Roman"/>
          <w:b/>
          <w:bCs/>
          <w:sz w:val="28"/>
          <w:szCs w:val="28"/>
        </w:rPr>
      </w:pPr>
    </w:p>
    <w:p w14:paraId="0EF93DCD">
      <w:pPr>
        <w:pStyle w:val="10"/>
        <w:adjustRightInd w:val="0"/>
        <w:snapToGrid w:val="0"/>
        <w:spacing w:line="360" w:lineRule="auto"/>
        <w:rPr>
          <w:rFonts w:ascii="Times New Roman" w:hAnsi="Times New Roman" w:cs="Times New Roman"/>
          <w:sz w:val="28"/>
          <w:szCs w:val="28"/>
        </w:rPr>
      </w:pPr>
      <w:r>
        <w:rPr>
          <w:rFonts w:ascii="Times New Roman" w:hAnsi="Times New Roman"/>
          <w:b/>
          <w:bCs/>
          <w:sz w:val="28"/>
          <w:szCs w:val="28"/>
        </w:rPr>
        <w:t>江苏省水利建设工程有限公司：</w:t>
      </w:r>
    </w:p>
    <w:p w14:paraId="00464704">
      <w:pPr>
        <w:pStyle w:val="10"/>
        <w:adjustRightInd w:val="0"/>
        <w:snapToGrid w:val="0"/>
        <w:spacing w:line="360" w:lineRule="auto"/>
        <w:ind w:firstLine="700" w:firstLineChars="250"/>
        <w:rPr>
          <w:rFonts w:ascii="Times New Roman" w:hAnsi="Times New Roman" w:cs="Times New Roman"/>
          <w:sz w:val="28"/>
          <w:szCs w:val="28"/>
        </w:rPr>
      </w:pPr>
      <w:r>
        <w:rPr>
          <w:rFonts w:ascii="Times New Roman" w:hAnsi="Times New Roman" w:cs="Times New Roman"/>
          <w:sz w:val="28"/>
          <w:szCs w:val="28"/>
          <w:u w:val="single"/>
        </w:rPr>
        <w:t>（姓名）</w:t>
      </w:r>
      <w:r>
        <w:rPr>
          <w:rFonts w:hint="eastAsia" w:ascii="Times New Roman" w:hAnsi="Times New Roman" w:cs="Times New Roman"/>
          <w:sz w:val="28"/>
          <w:szCs w:val="28"/>
        </w:rPr>
        <w:t>（身份证号：   ）</w:t>
      </w:r>
      <w:r>
        <w:rPr>
          <w:rFonts w:ascii="Times New Roman" w:hAnsi="Times New Roman" w:cs="Times New Roman"/>
          <w:sz w:val="28"/>
          <w:szCs w:val="28"/>
        </w:rPr>
        <w:t>，在</w:t>
      </w:r>
      <w:r>
        <w:rPr>
          <w:rFonts w:ascii="Times New Roman" w:hAnsi="Times New Roman" w:cs="Times New Roman"/>
          <w:sz w:val="28"/>
          <w:szCs w:val="28"/>
          <w:u w:val="single"/>
        </w:rPr>
        <w:t xml:space="preserve">  （投标人名称）</w:t>
      </w:r>
      <w:r>
        <w:rPr>
          <w:rFonts w:ascii="Times New Roman" w:hAnsi="Times New Roman" w:cs="Times New Roman"/>
          <w:sz w:val="28"/>
          <w:szCs w:val="28"/>
        </w:rPr>
        <w:t>担任</w:t>
      </w:r>
      <w:r>
        <w:rPr>
          <w:rFonts w:ascii="Times New Roman" w:hAnsi="Times New Roman" w:cs="Times New Roman"/>
          <w:sz w:val="28"/>
          <w:szCs w:val="28"/>
          <w:u w:val="single"/>
        </w:rPr>
        <w:t xml:space="preserve">    （职务名称）  </w:t>
      </w:r>
      <w:r>
        <w:rPr>
          <w:rFonts w:ascii="Times New Roman" w:hAnsi="Times New Roman" w:cs="Times New Roman"/>
          <w:sz w:val="28"/>
          <w:szCs w:val="28"/>
        </w:rPr>
        <w:t>职务，系投标人单位的法定代表人。</w:t>
      </w:r>
    </w:p>
    <w:p w14:paraId="5DE268F8">
      <w:pPr>
        <w:pStyle w:val="10"/>
        <w:adjustRightInd w:val="0"/>
        <w:snapToGrid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特此证明。</w:t>
      </w:r>
    </w:p>
    <w:p w14:paraId="1142C522">
      <w:pPr>
        <w:pStyle w:val="10"/>
        <w:adjustRightInd w:val="0"/>
        <w:snapToGrid w:val="0"/>
        <w:ind w:firstLine="560" w:firstLineChars="200"/>
        <w:rPr>
          <w:rFonts w:ascii="Times New Roman" w:hAnsi="Times New Roman" w:cs="Times New Roman"/>
          <w:sz w:val="28"/>
          <w:szCs w:val="28"/>
        </w:rPr>
      </w:pPr>
    </w:p>
    <w:p w14:paraId="65F52D9B">
      <w:pPr>
        <w:pStyle w:val="10"/>
        <w:adjustRightInd w:val="0"/>
        <w:snapToGrid w:val="0"/>
        <w:ind w:firstLine="560" w:firstLineChars="200"/>
        <w:rPr>
          <w:rFonts w:ascii="Times New Roman" w:hAnsi="Times New Roman" w:cs="Times New Roman"/>
          <w:sz w:val="28"/>
          <w:szCs w:val="28"/>
        </w:rPr>
      </w:pPr>
    </w:p>
    <w:p w14:paraId="2D7CEA42">
      <w:pPr>
        <w:pStyle w:val="10"/>
        <w:adjustRightInd w:val="0"/>
        <w:snapToGrid w:val="0"/>
        <w:ind w:firstLine="560" w:firstLineChars="200"/>
        <w:rPr>
          <w:rFonts w:ascii="Times New Roman" w:hAnsi="Times New Roman" w:cs="Times New Roman"/>
          <w:sz w:val="28"/>
          <w:szCs w:val="28"/>
        </w:rPr>
      </w:pPr>
    </w:p>
    <w:p w14:paraId="50EC010E">
      <w:pPr>
        <w:pStyle w:val="10"/>
        <w:adjustRightInd w:val="0"/>
        <w:snapToGrid w:val="0"/>
        <w:ind w:firstLine="560" w:firstLineChars="200"/>
        <w:rPr>
          <w:rFonts w:ascii="Times New Roman" w:hAnsi="Times New Roman" w:cs="Times New Roman"/>
          <w:sz w:val="28"/>
          <w:szCs w:val="28"/>
        </w:rPr>
      </w:pPr>
    </w:p>
    <w:p w14:paraId="3101BA0E">
      <w:pPr>
        <w:pStyle w:val="10"/>
        <w:adjustRightInd w:val="0"/>
        <w:snapToGrid w:val="0"/>
        <w:spacing w:line="480" w:lineRule="auto"/>
        <w:ind w:left="4410" w:leftChars="2100"/>
        <w:rPr>
          <w:rFonts w:ascii="Times New Roman" w:hAnsi="Times New Roman" w:cs="Times New Roman"/>
          <w:sz w:val="28"/>
          <w:szCs w:val="28"/>
        </w:rPr>
      </w:pPr>
      <w:r>
        <w:rPr>
          <w:rFonts w:ascii="Times New Roman" w:hAnsi="Times New Roman" w:cs="Times New Roman"/>
          <w:sz w:val="28"/>
          <w:szCs w:val="28"/>
        </w:rPr>
        <w:t>投标单位：(盖章)</w:t>
      </w:r>
    </w:p>
    <w:p w14:paraId="66D36C5F">
      <w:pPr>
        <w:pStyle w:val="10"/>
        <w:adjustRightInd w:val="0"/>
        <w:snapToGrid w:val="0"/>
        <w:spacing w:line="480" w:lineRule="auto"/>
        <w:ind w:left="4410" w:leftChars="2100"/>
        <w:rPr>
          <w:rFonts w:ascii="Times New Roman" w:hAnsi="Times New Roman" w:cs="Times New Roman"/>
          <w:sz w:val="28"/>
          <w:szCs w:val="28"/>
        </w:rPr>
      </w:pPr>
      <w:r>
        <w:rPr>
          <w:rFonts w:ascii="Times New Roman" w:hAnsi="Times New Roman" w:cs="Times New Roman"/>
          <w:sz w:val="28"/>
          <w:szCs w:val="28"/>
        </w:rPr>
        <w:t>投标单位法定代表人签名：</w:t>
      </w:r>
    </w:p>
    <w:p w14:paraId="250AC5FD">
      <w:pPr>
        <w:pStyle w:val="10"/>
        <w:adjustRightInd w:val="0"/>
        <w:snapToGrid w:val="0"/>
        <w:spacing w:line="480" w:lineRule="auto"/>
        <w:ind w:left="4410" w:leftChars="2100"/>
        <w:jc w:val="left"/>
        <w:rPr>
          <w:rFonts w:ascii="Times New Roman" w:hAnsi="Times New Roman" w:cs="Times New Roman"/>
          <w:sz w:val="28"/>
          <w:szCs w:val="28"/>
        </w:rPr>
      </w:pPr>
      <w:r>
        <w:rPr>
          <w:rFonts w:ascii="Times New Roman" w:hAnsi="Times New Roman" w:cs="Times New Roman"/>
          <w:sz w:val="28"/>
          <w:szCs w:val="28"/>
        </w:rPr>
        <w:t>日    期： 年  月  日</w:t>
      </w:r>
    </w:p>
    <w:p w14:paraId="213769CE">
      <w:pPr>
        <w:adjustRightInd w:val="0"/>
        <w:snapToGrid w:val="0"/>
        <w:ind w:firstLine="560"/>
        <w:rPr>
          <w:sz w:val="28"/>
          <w:szCs w:val="28"/>
        </w:rPr>
      </w:pPr>
      <w:r>
        <w:rPr>
          <w:sz w:val="28"/>
          <w:szCs w:val="28"/>
        </w:rPr>
        <w:t>附：法定代表人身份证复印件</w:t>
      </w:r>
    </w:p>
    <w:p w14:paraId="37311F65">
      <w:pPr>
        <w:pStyle w:val="10"/>
        <w:rPr>
          <w:rFonts w:ascii="Times New Roman" w:hAnsi="Times New Roman" w:cs="Times New Roman"/>
          <w:sz w:val="24"/>
          <w:szCs w:val="24"/>
        </w:rPr>
      </w:pPr>
    </w:p>
    <w:p w14:paraId="5B18790A">
      <w:pPr>
        <w:pStyle w:val="10"/>
        <w:rPr>
          <w:rFonts w:ascii="Times New Roman" w:hAnsi="Times New Roman" w:cs="Times New Roman"/>
          <w:b/>
          <w:sz w:val="18"/>
          <w:szCs w:val="18"/>
        </w:rPr>
      </w:pPr>
      <w:r>
        <w:rPr>
          <w:rFonts w:ascii="Times New Roman" w:hAnsi="Times New Roman" w:cs="Times New Roman"/>
          <w:sz w:val="24"/>
          <w:szCs w:val="24"/>
        </w:rPr>
        <w:br w:type="page"/>
      </w:r>
      <w:r>
        <w:rPr>
          <w:rFonts w:ascii="Times New Roman" w:hAnsi="Times New Roman" w:cs="Times New Roman"/>
          <w:b/>
          <w:sz w:val="18"/>
          <w:szCs w:val="18"/>
        </w:rPr>
        <w:t>附件5</w:t>
      </w:r>
    </w:p>
    <w:p w14:paraId="2E82DD85">
      <w:pPr>
        <w:adjustRightInd w:val="0"/>
        <w:snapToGrid w:val="0"/>
        <w:jc w:val="center"/>
        <w:rPr>
          <w:b/>
          <w:bCs/>
          <w:sz w:val="32"/>
          <w:szCs w:val="32"/>
        </w:rPr>
      </w:pPr>
      <w:r>
        <w:rPr>
          <w:b/>
          <w:bCs/>
          <w:sz w:val="32"/>
          <w:szCs w:val="32"/>
        </w:rPr>
        <w:t>授权委托书</w:t>
      </w:r>
    </w:p>
    <w:p w14:paraId="24E07884">
      <w:pPr>
        <w:adjustRightInd w:val="0"/>
        <w:snapToGrid w:val="0"/>
        <w:spacing w:line="360" w:lineRule="auto"/>
        <w:ind w:firstLine="103" w:firstLineChars="49"/>
        <w:rPr>
          <w:b/>
          <w:bCs/>
          <w:szCs w:val="24"/>
          <w:u w:val="single"/>
        </w:rPr>
      </w:pPr>
    </w:p>
    <w:p w14:paraId="15D67906">
      <w:pPr>
        <w:adjustRightInd w:val="0"/>
        <w:snapToGrid w:val="0"/>
        <w:spacing w:line="360" w:lineRule="auto"/>
        <w:ind w:firstLine="118" w:firstLineChars="49"/>
        <w:rPr>
          <w:b/>
          <w:bCs/>
          <w:sz w:val="24"/>
          <w:szCs w:val="24"/>
          <w:u w:val="single"/>
        </w:rPr>
      </w:pPr>
      <w:r>
        <w:rPr>
          <w:b/>
          <w:bCs/>
          <w:sz w:val="24"/>
          <w:szCs w:val="24"/>
          <w:u w:val="single"/>
        </w:rPr>
        <w:t>江苏省水利建设工程有限公司</w:t>
      </w:r>
      <w:r>
        <w:rPr>
          <w:b/>
          <w:bCs/>
          <w:sz w:val="24"/>
          <w:szCs w:val="24"/>
        </w:rPr>
        <w:t>：</w:t>
      </w:r>
    </w:p>
    <w:p w14:paraId="0B71F71A">
      <w:pPr>
        <w:topLinePunct/>
        <w:adjustRightInd w:val="0"/>
        <w:snapToGrid w:val="0"/>
        <w:spacing w:line="360" w:lineRule="auto"/>
        <w:ind w:firstLine="480"/>
        <w:rPr>
          <w:sz w:val="24"/>
          <w:szCs w:val="24"/>
        </w:rPr>
      </w:pPr>
      <w:r>
        <w:rPr>
          <w:sz w:val="24"/>
          <w:szCs w:val="24"/>
        </w:rPr>
        <w:t>本人</w:t>
      </w:r>
      <w:r>
        <w:rPr>
          <w:vanish w:val="0"/>
          <w:sz w:val="24"/>
          <w:szCs w:val="24"/>
          <w:u w:val="single"/>
        </w:rPr>
        <w:t>（姓名）</w:t>
      </w:r>
      <w:r>
        <w:rPr>
          <w:sz w:val="24"/>
          <w:szCs w:val="24"/>
        </w:rPr>
        <w:t>，系</w:t>
      </w:r>
      <w:r>
        <w:rPr>
          <w:vanish w:val="0"/>
          <w:sz w:val="24"/>
          <w:szCs w:val="24"/>
          <w:u w:val="single"/>
        </w:rPr>
        <w:t>（投标人单位名称）</w:t>
      </w:r>
      <w:r>
        <w:rPr>
          <w:sz w:val="24"/>
          <w:szCs w:val="24"/>
        </w:rPr>
        <w:t>的法定代表人，现委托</w:t>
      </w:r>
      <w:r>
        <w:rPr>
          <w:vanish w:val="0"/>
          <w:sz w:val="24"/>
          <w:szCs w:val="24"/>
          <w:u w:val="single"/>
        </w:rPr>
        <w:t>（姓名）</w:t>
      </w:r>
      <w:r>
        <w:rPr>
          <w:rFonts w:hint="eastAsia"/>
          <w:sz w:val="24"/>
          <w:szCs w:val="24"/>
        </w:rPr>
        <w:t>（身份证号：   ）</w:t>
      </w:r>
      <w:r>
        <w:rPr>
          <w:sz w:val="24"/>
          <w:szCs w:val="24"/>
        </w:rPr>
        <w:t>为投标人的委托代理人，授权其代表投标人签署、澄清、说明、补正、递交、撤回、修改</w:t>
      </w:r>
      <w:r>
        <w:rPr>
          <w:rFonts w:hint="eastAsia" w:ascii="Times New Roman" w:hAnsi="Times New Roman"/>
          <w:b/>
          <w:bCs/>
          <w:sz w:val="24"/>
          <w:szCs w:val="24"/>
          <w:u w:val="single"/>
        </w:rPr>
        <w:t>秦淮新河改扩建工程土建施工及设备安装</w:t>
      </w:r>
      <w:r>
        <w:rPr>
          <w:rFonts w:hint="eastAsia" w:ascii="Times New Roman" w:hAnsi="Times New Roman"/>
          <w:b/>
          <w:sz w:val="24"/>
          <w:szCs w:val="24"/>
          <w:u w:val="single"/>
        </w:rPr>
        <w:t>桥式起重机采购</w:t>
      </w:r>
      <w:r>
        <w:rPr>
          <w:rFonts w:ascii="Times New Roman" w:hAnsi="Times New Roman"/>
          <w:sz w:val="24"/>
          <w:szCs w:val="24"/>
        </w:rPr>
        <w:t>投标文件</w:t>
      </w:r>
      <w:r>
        <w:rPr>
          <w:sz w:val="24"/>
          <w:szCs w:val="24"/>
        </w:rPr>
        <w:t>和处理投标过程中的事宜。</w:t>
      </w:r>
    </w:p>
    <w:p w14:paraId="68563564">
      <w:pPr>
        <w:topLinePunct/>
        <w:adjustRightInd w:val="0"/>
        <w:snapToGrid w:val="0"/>
        <w:spacing w:line="360" w:lineRule="auto"/>
        <w:ind w:firstLine="480"/>
        <w:rPr>
          <w:sz w:val="24"/>
          <w:szCs w:val="24"/>
        </w:rPr>
      </w:pPr>
      <w:r>
        <w:rPr>
          <w:sz w:val="24"/>
          <w:szCs w:val="24"/>
        </w:rPr>
        <w:t>委托代理人的委托权限还包括</w:t>
      </w:r>
      <w:r>
        <w:rPr>
          <w:rFonts w:hint="eastAsia"/>
          <w:sz w:val="24"/>
          <w:szCs w:val="24"/>
        </w:rPr>
        <w:t>：</w:t>
      </w:r>
      <w:r>
        <w:rPr>
          <w:sz w:val="24"/>
          <w:szCs w:val="24"/>
        </w:rPr>
        <w:t>参与谈判、签署文件、协议及合同。</w:t>
      </w:r>
    </w:p>
    <w:p w14:paraId="33383AAD">
      <w:pPr>
        <w:topLinePunct/>
        <w:adjustRightInd w:val="0"/>
        <w:snapToGrid w:val="0"/>
        <w:spacing w:line="360" w:lineRule="auto"/>
        <w:ind w:firstLine="480"/>
        <w:rPr>
          <w:sz w:val="24"/>
          <w:szCs w:val="24"/>
        </w:rPr>
      </w:pPr>
      <w:r>
        <w:rPr>
          <w:sz w:val="24"/>
          <w:szCs w:val="24"/>
        </w:rPr>
        <w:t>该委托代理人所签署的上述文件及办理的上述投标事宜，投标人均予承认，其法律后果均由投标人承担。</w:t>
      </w:r>
    </w:p>
    <w:p w14:paraId="2A4605D6">
      <w:pPr>
        <w:pStyle w:val="1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委托期限：</w:t>
      </w:r>
      <w:r>
        <w:rPr>
          <w:rFonts w:hint="eastAsia" w:ascii="Times New Roman" w:hAnsi="Times New Roman" w:cs="Times New Roman"/>
          <w:sz w:val="24"/>
          <w:szCs w:val="24"/>
          <w:u w:val="single"/>
          <w:lang w:val="en-US" w:eastAsia="zh-CN"/>
        </w:rPr>
        <w:t xml:space="preserve">   </w:t>
      </w:r>
      <w:r>
        <w:rPr>
          <w:rFonts w:ascii="Times New Roman" w:hAnsi="Times New Roman" w:cs="Times New Roman"/>
          <w:sz w:val="24"/>
          <w:szCs w:val="24"/>
        </w:rPr>
        <w:t>天。</w:t>
      </w:r>
    </w:p>
    <w:p w14:paraId="465A479F">
      <w:pPr>
        <w:pStyle w:val="1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该代理人无转委托权。</w:t>
      </w:r>
    </w:p>
    <w:p w14:paraId="5C5C65B2">
      <w:pPr>
        <w:pStyle w:val="2"/>
        <w:ind w:firstLine="480"/>
      </w:pPr>
    </w:p>
    <w:p w14:paraId="4E83B4D7">
      <w:pPr>
        <w:tabs>
          <w:tab w:val="left" w:pos="5280"/>
        </w:tabs>
        <w:adjustRightInd w:val="0"/>
        <w:snapToGrid w:val="0"/>
        <w:spacing w:line="480" w:lineRule="auto"/>
        <w:ind w:firstLine="480"/>
        <w:rPr>
          <w:sz w:val="24"/>
          <w:szCs w:val="24"/>
        </w:rPr>
      </w:pPr>
      <w:r>
        <w:rPr>
          <w:sz w:val="24"/>
          <w:szCs w:val="24"/>
        </w:rPr>
        <w:t>委托代理人（签字）：</w:t>
      </w:r>
      <w:r>
        <w:rPr>
          <w:rFonts w:hint="eastAsia"/>
          <w:sz w:val="24"/>
          <w:szCs w:val="24"/>
        </w:rPr>
        <w:tab/>
      </w:r>
      <w:r>
        <w:rPr>
          <w:sz w:val="24"/>
          <w:szCs w:val="24"/>
        </w:rPr>
        <w:t>投标人：（盖章）</w:t>
      </w:r>
    </w:p>
    <w:p w14:paraId="19B9A542">
      <w:pPr>
        <w:tabs>
          <w:tab w:val="left" w:pos="5280"/>
        </w:tabs>
        <w:adjustRightInd w:val="0"/>
        <w:snapToGrid w:val="0"/>
        <w:spacing w:line="480" w:lineRule="auto"/>
        <w:ind w:firstLine="480"/>
        <w:rPr>
          <w:sz w:val="24"/>
          <w:szCs w:val="24"/>
        </w:rPr>
      </w:pPr>
      <w:r>
        <w:rPr>
          <w:sz w:val="24"/>
          <w:szCs w:val="24"/>
        </w:rPr>
        <w:t>日期：</w:t>
      </w:r>
      <w:r>
        <w:rPr>
          <w:rFonts w:hint="eastAsia"/>
          <w:sz w:val="24"/>
          <w:szCs w:val="24"/>
        </w:rPr>
        <w:tab/>
      </w:r>
      <w:r>
        <w:rPr>
          <w:sz w:val="24"/>
          <w:szCs w:val="24"/>
        </w:rPr>
        <w:t>日期：</w:t>
      </w:r>
    </w:p>
    <w:p w14:paraId="07BC196B">
      <w:pPr>
        <w:tabs>
          <w:tab w:val="left" w:pos="5280"/>
        </w:tabs>
        <w:adjustRightInd w:val="0"/>
        <w:snapToGrid w:val="0"/>
        <w:spacing w:line="480" w:lineRule="auto"/>
        <w:ind w:firstLine="480"/>
        <w:rPr>
          <w:sz w:val="24"/>
          <w:szCs w:val="24"/>
        </w:rPr>
      </w:pPr>
      <w:r>
        <w:rPr>
          <w:sz w:val="24"/>
          <w:szCs w:val="24"/>
        </w:rPr>
        <w:t>法定代表人：（签字）</w:t>
      </w:r>
      <w:r>
        <w:rPr>
          <w:rFonts w:hint="eastAsia"/>
          <w:sz w:val="24"/>
          <w:szCs w:val="24"/>
        </w:rPr>
        <w:tab/>
      </w:r>
      <w:r>
        <w:rPr>
          <w:sz w:val="24"/>
          <w:szCs w:val="24"/>
        </w:rPr>
        <w:t>联系电话：</w:t>
      </w:r>
    </w:p>
    <w:p w14:paraId="63BAE911">
      <w:pPr>
        <w:pStyle w:val="2"/>
        <w:ind w:firstLine="480"/>
      </w:pPr>
    </w:p>
    <w:p w14:paraId="7B3AC30F">
      <w:pPr>
        <w:tabs>
          <w:tab w:val="left" w:pos="630"/>
          <w:tab w:val="left" w:pos="5280"/>
        </w:tabs>
        <w:adjustRightInd w:val="0"/>
        <w:snapToGrid w:val="0"/>
        <w:spacing w:line="480" w:lineRule="auto"/>
        <w:ind w:firstLine="480"/>
        <w:rPr>
          <w:sz w:val="24"/>
          <w:szCs w:val="24"/>
        </w:rPr>
      </w:pPr>
      <w:r>
        <w:rPr>
          <w:rFonts w:hint="eastAsia"/>
          <w:sz w:val="24"/>
          <w:szCs w:val="24"/>
        </w:rPr>
        <w:t>委</w:t>
      </w:r>
      <w:r>
        <w:rPr>
          <w:sz w:val="24"/>
          <w:szCs w:val="24"/>
        </w:rPr>
        <w:t>托代理人：（签字）</w:t>
      </w:r>
      <w:r>
        <w:rPr>
          <w:rFonts w:hint="eastAsia"/>
          <w:sz w:val="24"/>
          <w:szCs w:val="24"/>
        </w:rPr>
        <w:tab/>
      </w:r>
      <w:r>
        <w:rPr>
          <w:sz w:val="24"/>
          <w:szCs w:val="24"/>
        </w:rPr>
        <w:t>联系电话：</w:t>
      </w:r>
    </w:p>
    <w:p w14:paraId="620BD7EB">
      <w:pPr>
        <w:adjustRightInd w:val="0"/>
        <w:snapToGrid w:val="0"/>
        <w:spacing w:line="360" w:lineRule="auto"/>
        <w:ind w:firstLine="480"/>
        <w:rPr>
          <w:sz w:val="24"/>
          <w:szCs w:val="24"/>
        </w:rPr>
      </w:pPr>
      <w:r>
        <w:rPr>
          <w:sz w:val="24"/>
          <w:szCs w:val="24"/>
        </w:rPr>
        <w:t>附：委托代理人身份证复印件</w:t>
      </w:r>
    </w:p>
    <w:p w14:paraId="780BC7E5">
      <w:pPr>
        <w:adjustRightInd w:val="0"/>
        <w:snapToGrid w:val="0"/>
        <w:ind w:firstLine="360"/>
        <w:rPr>
          <w:sz w:val="24"/>
          <w:szCs w:val="24"/>
        </w:rPr>
      </w:pPr>
    </w:p>
    <w:p w14:paraId="68D8B7FC">
      <w:pPr>
        <w:pStyle w:val="2"/>
        <w:ind w:firstLine="360"/>
        <w:rPr>
          <w:rFonts w:ascii="Times New Roman" w:hAnsi="Times New Roman"/>
        </w:rPr>
      </w:pPr>
    </w:p>
    <w:p w14:paraId="0964515C">
      <w:pPr>
        <w:ind w:firstLine="360"/>
        <w:rPr>
          <w:sz w:val="24"/>
          <w:szCs w:val="24"/>
        </w:rPr>
      </w:pPr>
    </w:p>
    <w:p w14:paraId="308D88EF">
      <w:pPr>
        <w:pStyle w:val="2"/>
        <w:ind w:firstLine="360"/>
        <w:rPr>
          <w:rFonts w:ascii="Times New Roman" w:hAnsi="Times New Roman"/>
        </w:rPr>
      </w:pPr>
    </w:p>
    <w:p w14:paraId="08F4C9E3">
      <w:pPr>
        <w:ind w:firstLine="360"/>
        <w:rPr>
          <w:sz w:val="24"/>
          <w:szCs w:val="24"/>
        </w:rPr>
      </w:pPr>
    </w:p>
    <w:p w14:paraId="1F52CF91">
      <w:pPr>
        <w:pStyle w:val="2"/>
        <w:ind w:firstLine="480"/>
      </w:pPr>
    </w:p>
    <w:p w14:paraId="2C10BA0A">
      <w:pPr>
        <w:ind w:firstLine="361"/>
        <w:rPr>
          <w:b/>
          <w:sz w:val="24"/>
          <w:szCs w:val="24"/>
        </w:rPr>
      </w:pPr>
      <w:r>
        <w:rPr>
          <w:b/>
          <w:sz w:val="24"/>
          <w:szCs w:val="24"/>
        </w:rPr>
        <w:br w:type="page"/>
      </w:r>
    </w:p>
    <w:p w14:paraId="30DBADF7">
      <w:pPr>
        <w:pStyle w:val="10"/>
        <w:spacing w:line="360" w:lineRule="auto"/>
        <w:ind w:left="40" w:firstLine="482"/>
        <w:rPr>
          <w:rFonts w:hint="eastAsia" w:ascii="Times New Roman" w:hAnsi="Times New Roman"/>
          <w:color w:val="0000FF"/>
          <w:sz w:val="24"/>
          <w:szCs w:val="24"/>
          <w:lang w:val="en-US" w:eastAsia="zh-CN"/>
        </w:rPr>
      </w:pPr>
      <w:r>
        <w:rPr>
          <w:rFonts w:ascii="Times New Roman" w:hAnsi="Times New Roman" w:cs="Times New Roman"/>
          <w:b/>
          <w:sz w:val="24"/>
          <w:szCs w:val="24"/>
        </w:rPr>
        <w:t>附件6、</w:t>
      </w:r>
      <w:r>
        <w:rPr>
          <w:rFonts w:hint="eastAsia" w:ascii="Times New Roman" w:hAnsi="Times New Roman" w:eastAsia="宋体" w:cs="Times New Roman"/>
          <w:b/>
          <w:bCs/>
          <w:kern w:val="2"/>
          <w:sz w:val="24"/>
          <w:szCs w:val="24"/>
          <w:lang w:val="en-US" w:eastAsia="zh-CN" w:bidi="ar-SA"/>
        </w:rPr>
        <w:t>投标人营业执照、资信证书（投标人为代理商的提供）</w:t>
      </w:r>
    </w:p>
    <w:p w14:paraId="24ADD2D4">
      <w:pPr>
        <w:pStyle w:val="10"/>
        <w:spacing w:line="360" w:lineRule="auto"/>
        <w:ind w:left="40" w:firstLine="482"/>
        <w:rPr>
          <w:rFonts w:hint="eastAsia" w:ascii="Times New Roman" w:hAnsi="Times New Roman"/>
          <w:color w:val="0000FF"/>
          <w:sz w:val="24"/>
          <w:szCs w:val="24"/>
          <w:lang w:val="en-US" w:eastAsia="zh-CN"/>
        </w:rPr>
      </w:pPr>
    </w:p>
    <w:p w14:paraId="5B650EE1">
      <w:pPr>
        <w:pStyle w:val="10"/>
        <w:spacing w:line="360" w:lineRule="auto"/>
        <w:ind w:left="40" w:firstLine="482"/>
        <w:rPr>
          <w:rFonts w:hint="eastAsia" w:ascii="Times New Roman" w:hAnsi="Times New Roman" w:cs="Times New Roman"/>
          <w:b/>
          <w:color w:val="FF0000"/>
          <w:sz w:val="24"/>
          <w:szCs w:val="24"/>
        </w:rPr>
      </w:pPr>
      <w:r>
        <w:rPr>
          <w:rFonts w:ascii="Times New Roman" w:hAnsi="Times New Roman" w:cs="Times New Roman"/>
          <w:b/>
          <w:sz w:val="24"/>
          <w:szCs w:val="24"/>
        </w:rPr>
        <w:t>附件</w:t>
      </w:r>
      <w:r>
        <w:rPr>
          <w:rFonts w:hint="eastAsia" w:ascii="Times New Roman" w:hAnsi="Times New Roman" w:cs="Times New Roman"/>
          <w:b/>
          <w:sz w:val="24"/>
          <w:szCs w:val="24"/>
          <w:lang w:val="en-US" w:eastAsia="zh-CN"/>
        </w:rPr>
        <w:t>7</w:t>
      </w:r>
      <w:r>
        <w:rPr>
          <w:rFonts w:ascii="Times New Roman" w:hAnsi="Times New Roman" w:cs="Times New Roman"/>
          <w:b/>
          <w:sz w:val="24"/>
          <w:szCs w:val="24"/>
        </w:rPr>
        <w:t>、</w:t>
      </w:r>
      <w:r>
        <w:rPr>
          <w:rFonts w:hint="eastAsia" w:ascii="Times New Roman" w:hAnsi="Times New Roman" w:cs="Times New Roman"/>
          <w:b/>
          <w:sz w:val="24"/>
          <w:szCs w:val="24"/>
          <w:lang w:val="en-US" w:eastAsia="zh-CN"/>
        </w:rPr>
        <w:t>制造商</w:t>
      </w:r>
      <w:r>
        <w:rPr>
          <w:rFonts w:ascii="Times New Roman" w:hAnsi="Times New Roman" w:cs="Times New Roman"/>
          <w:b/>
          <w:sz w:val="24"/>
          <w:szCs w:val="24"/>
        </w:rPr>
        <w:t>营业执照、资质证书等相关资料</w:t>
      </w:r>
      <w:r>
        <w:rPr>
          <w:rFonts w:hint="eastAsia" w:ascii="Times New Roman" w:hAnsi="Times New Roman" w:cs="Times New Roman"/>
          <w:b/>
          <w:color w:val="FF0000"/>
          <w:sz w:val="24"/>
          <w:szCs w:val="24"/>
        </w:rPr>
        <w:t>（保证扫描的资料清楚）</w:t>
      </w:r>
    </w:p>
    <w:p w14:paraId="071FCF8B">
      <w:pPr>
        <w:pStyle w:val="10"/>
        <w:spacing w:line="360" w:lineRule="auto"/>
        <w:ind w:left="40" w:firstLine="482"/>
        <w:rPr>
          <w:rFonts w:hint="eastAsia" w:ascii="Times New Roman" w:hAnsi="Times New Roman" w:cs="Times New Roman"/>
          <w:b/>
          <w:color w:val="FF0000"/>
          <w:sz w:val="24"/>
          <w:szCs w:val="24"/>
        </w:rPr>
      </w:pPr>
    </w:p>
    <w:p w14:paraId="75564E31">
      <w:pPr>
        <w:pStyle w:val="10"/>
        <w:spacing w:line="360" w:lineRule="auto"/>
        <w:ind w:left="40" w:firstLine="482"/>
        <w:rPr>
          <w:rFonts w:ascii="Times New Roman" w:hAnsi="Times New Roman" w:cs="Times New Roman"/>
          <w:b/>
          <w:sz w:val="24"/>
          <w:szCs w:val="24"/>
        </w:rPr>
      </w:pPr>
      <w:r>
        <w:rPr>
          <w:rFonts w:ascii="Times New Roman" w:hAnsi="Times New Roman" w:cs="Times New Roman"/>
          <w:b/>
          <w:sz w:val="24"/>
          <w:szCs w:val="24"/>
        </w:rPr>
        <w:t>附件</w:t>
      </w:r>
      <w:r>
        <w:rPr>
          <w:rFonts w:hint="eastAsia" w:ascii="Times New Roman" w:hAnsi="Times New Roman" w:cs="Times New Roman"/>
          <w:b/>
          <w:sz w:val="24"/>
          <w:szCs w:val="24"/>
          <w:lang w:val="en-US" w:eastAsia="zh-CN"/>
        </w:rPr>
        <w:t>8</w:t>
      </w:r>
      <w:r>
        <w:rPr>
          <w:rFonts w:ascii="Times New Roman" w:hAnsi="Times New Roman" w:cs="Times New Roman"/>
          <w:b/>
          <w:sz w:val="24"/>
          <w:szCs w:val="24"/>
        </w:rPr>
        <w:t>、投标保证金（汇款凭证）</w:t>
      </w:r>
    </w:p>
    <w:p w14:paraId="6D74B6B7">
      <w:pPr>
        <w:spacing w:line="360" w:lineRule="auto"/>
        <w:rPr>
          <w:rFonts w:ascii="Times New Roman" w:hAnsi="Times New Roman"/>
          <w:b/>
          <w:sz w:val="32"/>
          <w:szCs w:val="32"/>
        </w:rPr>
      </w:pPr>
      <w:r>
        <w:rPr>
          <w:rFonts w:ascii="Times New Roman" w:hAnsi="Times New Roman"/>
          <w:b/>
          <w:sz w:val="32"/>
          <w:szCs w:val="32"/>
        </w:rPr>
        <w:br w:type="page"/>
      </w:r>
    </w:p>
    <w:p w14:paraId="7CEC0AEC">
      <w:pPr>
        <w:spacing w:beforeLines="100"/>
        <w:jc w:val="center"/>
        <w:rPr>
          <w:rFonts w:asciiTheme="minorEastAsia" w:hAnsiTheme="minorEastAsia" w:eastAsiaTheme="minorEastAsia"/>
          <w:b/>
          <w:szCs w:val="21"/>
        </w:rPr>
      </w:pPr>
      <w:r>
        <w:rPr>
          <w:rFonts w:asciiTheme="minorEastAsia" w:hAnsiTheme="minorEastAsia" w:eastAsiaTheme="minorEastAsia"/>
          <w:b/>
          <w:szCs w:val="21"/>
        </w:rPr>
        <w:t>第</w:t>
      </w:r>
      <w:r>
        <w:rPr>
          <w:rFonts w:hint="eastAsia" w:asciiTheme="minorEastAsia" w:hAnsiTheme="minorEastAsia" w:eastAsiaTheme="minorEastAsia"/>
          <w:b/>
          <w:szCs w:val="21"/>
        </w:rPr>
        <w:t>三</w:t>
      </w:r>
      <w:r>
        <w:rPr>
          <w:rFonts w:asciiTheme="minorEastAsia" w:hAnsiTheme="minorEastAsia" w:eastAsiaTheme="minorEastAsia"/>
          <w:b/>
          <w:szCs w:val="21"/>
        </w:rPr>
        <w:t>章</w:t>
      </w:r>
      <w:r>
        <w:rPr>
          <w:rFonts w:hint="eastAsia" w:asciiTheme="minorEastAsia" w:hAnsiTheme="minorEastAsia" w:eastAsiaTheme="minorEastAsia"/>
          <w:b/>
          <w:szCs w:val="21"/>
        </w:rPr>
        <w:t xml:space="preserve">  桥式起重机</w:t>
      </w:r>
      <w:r>
        <w:rPr>
          <w:rFonts w:asciiTheme="minorEastAsia" w:hAnsiTheme="minorEastAsia" w:eastAsiaTheme="minorEastAsia"/>
          <w:b/>
          <w:szCs w:val="21"/>
        </w:rPr>
        <w:t>采购合同</w:t>
      </w:r>
    </w:p>
    <w:p w14:paraId="05CB1186">
      <w:pPr>
        <w:ind w:firstLine="482"/>
        <w:rPr>
          <w:rFonts w:asciiTheme="minorEastAsia" w:hAnsiTheme="minorEastAsia" w:eastAsiaTheme="minorEastAsia"/>
          <w:b/>
          <w:szCs w:val="21"/>
        </w:rPr>
      </w:pPr>
    </w:p>
    <w:p w14:paraId="2B88EBA5">
      <w:pPr>
        <w:ind w:left="40" w:hanging="40"/>
        <w:jc w:val="center"/>
        <w:rPr>
          <w:rFonts w:asciiTheme="minorEastAsia" w:hAnsiTheme="minorEastAsia" w:eastAsiaTheme="minorEastAsia"/>
          <w:b/>
          <w:szCs w:val="21"/>
        </w:rPr>
      </w:pPr>
      <w:r>
        <w:rPr>
          <w:rFonts w:hint="eastAsia" w:asciiTheme="minorEastAsia" w:hAnsiTheme="minorEastAsia" w:eastAsiaTheme="minorEastAsia"/>
          <w:b/>
          <w:szCs w:val="21"/>
        </w:rPr>
        <w:t>桥式起重机</w:t>
      </w:r>
      <w:r>
        <w:rPr>
          <w:rFonts w:asciiTheme="minorEastAsia" w:hAnsiTheme="minorEastAsia" w:eastAsiaTheme="minorEastAsia"/>
          <w:b/>
          <w:szCs w:val="21"/>
        </w:rPr>
        <w:t>采购合同</w:t>
      </w:r>
    </w:p>
    <w:p w14:paraId="612D61F5">
      <w:pPr>
        <w:ind w:firstLine="420"/>
        <w:jc w:val="center"/>
        <w:rPr>
          <w:rFonts w:asciiTheme="minorEastAsia" w:hAnsiTheme="minorEastAsia" w:eastAsiaTheme="minorEastAsia"/>
          <w:b/>
          <w:sz w:val="24"/>
          <w:szCs w:val="24"/>
        </w:rPr>
      </w:pPr>
      <w:r>
        <w:rPr>
          <w:rFonts w:asciiTheme="minorEastAsia" w:hAnsiTheme="minorEastAsia" w:eastAsiaTheme="minorEastAsia"/>
          <w:bCs/>
          <w:sz w:val="24"/>
          <w:szCs w:val="24"/>
        </w:rPr>
        <w:t>合同编号</w:t>
      </w:r>
      <w:r>
        <w:rPr>
          <w:rFonts w:asciiTheme="minorEastAsia" w:hAnsiTheme="minorEastAsia" w:eastAsiaTheme="minorEastAsia"/>
          <w:b/>
          <w:bCs/>
          <w:sz w:val="24"/>
          <w:szCs w:val="24"/>
        </w:rPr>
        <w:t>：</w:t>
      </w:r>
    </w:p>
    <w:p w14:paraId="46A52935">
      <w:pPr>
        <w:spacing w:line="360" w:lineRule="auto"/>
        <w:ind w:left="40" w:leftChars="19"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买方：</w:t>
      </w:r>
      <w:r>
        <w:rPr>
          <w:rFonts w:hint="eastAsia" w:asciiTheme="minorEastAsia" w:hAnsiTheme="minorEastAsia" w:eastAsiaTheme="minorEastAsia"/>
          <w:b/>
          <w:bCs/>
          <w:sz w:val="24"/>
          <w:szCs w:val="24"/>
          <w:u w:val="single"/>
        </w:rPr>
        <w:t>江苏省水利建设工程有限公司</w:t>
      </w:r>
      <w:r>
        <w:rPr>
          <w:rFonts w:asciiTheme="minorEastAsia" w:hAnsiTheme="minorEastAsia" w:eastAsiaTheme="minorEastAsia"/>
          <w:sz w:val="24"/>
          <w:szCs w:val="24"/>
        </w:rPr>
        <w:t>（以下简称甲方）</w:t>
      </w:r>
    </w:p>
    <w:p w14:paraId="1AA5269E">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卖方：</w:t>
      </w:r>
      <w:bookmarkStart w:id="8" w:name="_Hlk148377911"/>
      <w:r>
        <w:rPr>
          <w:rFonts w:asciiTheme="minorEastAsia" w:hAnsiTheme="minorEastAsia" w:eastAsiaTheme="minorEastAsia"/>
          <w:b/>
          <w:sz w:val="24"/>
          <w:szCs w:val="24"/>
        </w:rPr>
        <w:t>（注意：应填写对方营业执照上注册的全称）</w:t>
      </w:r>
      <w:bookmarkEnd w:id="8"/>
      <w:r>
        <w:rPr>
          <w:rFonts w:asciiTheme="minorEastAsia" w:hAnsiTheme="minorEastAsia" w:eastAsiaTheme="minorEastAsia"/>
          <w:sz w:val="24"/>
          <w:szCs w:val="24"/>
        </w:rPr>
        <w:t>（以下简称乙方）</w:t>
      </w:r>
    </w:p>
    <w:p w14:paraId="31914CA8">
      <w:pPr>
        <w:spacing w:line="360" w:lineRule="auto"/>
        <w:ind w:left="40"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甲乙双方在平等、自愿、公平和诚实信用的基础上，根据《中华人民共和国民法典》及有关法律法规，就甲方向乙方采购</w:t>
      </w:r>
      <w:r>
        <w:rPr>
          <w:rFonts w:hint="eastAsia" w:asciiTheme="minorEastAsia" w:hAnsiTheme="minorEastAsia" w:eastAsiaTheme="minorEastAsia"/>
          <w:sz w:val="24"/>
          <w:szCs w:val="24"/>
        </w:rPr>
        <w:t>桥式起重机</w:t>
      </w:r>
      <w:r>
        <w:rPr>
          <w:rFonts w:asciiTheme="minorEastAsia" w:hAnsiTheme="minorEastAsia" w:eastAsiaTheme="minorEastAsia"/>
          <w:sz w:val="24"/>
          <w:szCs w:val="24"/>
        </w:rPr>
        <w:t>一事，达成本协议，供双方共同遵守。</w:t>
      </w:r>
    </w:p>
    <w:p w14:paraId="11ECAAA6">
      <w:pPr>
        <w:pStyle w:val="27"/>
        <w:spacing w:line="360" w:lineRule="auto"/>
        <w:ind w:left="472" w:hanging="432" w:firstLineChars="0"/>
        <w:rPr>
          <w:rFonts w:asciiTheme="minorEastAsia" w:hAnsiTheme="minorEastAsia" w:eastAsiaTheme="minorEastAsia"/>
          <w:b/>
          <w:sz w:val="24"/>
          <w:szCs w:val="24"/>
        </w:rPr>
      </w:pPr>
      <w:r>
        <w:rPr>
          <w:rFonts w:asciiTheme="minorEastAsia" w:hAnsiTheme="minorEastAsia" w:eastAsiaTheme="minorEastAsia"/>
          <w:b/>
          <w:sz w:val="24"/>
          <w:szCs w:val="24"/>
        </w:rPr>
        <w:t>一、</w:t>
      </w:r>
      <w:r>
        <w:rPr>
          <w:rFonts w:hint="eastAsia" w:asciiTheme="minorEastAsia" w:hAnsiTheme="minorEastAsia" w:eastAsiaTheme="minorEastAsia"/>
          <w:b/>
          <w:sz w:val="24"/>
          <w:szCs w:val="24"/>
        </w:rPr>
        <w:t>桥式起重机</w:t>
      </w:r>
      <w:r>
        <w:rPr>
          <w:rFonts w:asciiTheme="minorEastAsia" w:hAnsiTheme="minorEastAsia" w:eastAsiaTheme="minorEastAsia"/>
          <w:b/>
          <w:sz w:val="24"/>
          <w:szCs w:val="24"/>
        </w:rPr>
        <w:t>供应工程概况：</w:t>
      </w:r>
    </w:p>
    <w:p w14:paraId="74471F6C">
      <w:pPr>
        <w:pStyle w:val="27"/>
        <w:spacing w:line="360" w:lineRule="auto"/>
        <w:ind w:left="4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工程名称：</w:t>
      </w:r>
      <w:r>
        <w:rPr>
          <w:rFonts w:hint="eastAsia" w:asciiTheme="minorEastAsia" w:hAnsiTheme="minorEastAsia" w:eastAsiaTheme="minorEastAsia"/>
          <w:b/>
          <w:bCs/>
          <w:sz w:val="24"/>
          <w:szCs w:val="24"/>
          <w:u w:val="single"/>
        </w:rPr>
        <w:t>秦淮新河</w:t>
      </w:r>
      <w:r>
        <w:rPr>
          <w:rFonts w:hint="eastAsia" w:asciiTheme="minorEastAsia" w:hAnsiTheme="minorEastAsia" w:eastAsiaTheme="minorEastAsia"/>
          <w:b/>
          <w:bCs/>
          <w:sz w:val="24"/>
          <w:szCs w:val="24"/>
          <w:u w:val="single"/>
          <w:lang w:val="en-US" w:eastAsia="zh-CN"/>
        </w:rPr>
        <w:t>水利枢纽</w:t>
      </w:r>
      <w:r>
        <w:rPr>
          <w:rFonts w:hint="eastAsia" w:asciiTheme="minorEastAsia" w:hAnsiTheme="minorEastAsia" w:eastAsiaTheme="minorEastAsia"/>
          <w:b/>
          <w:bCs/>
          <w:sz w:val="24"/>
          <w:szCs w:val="24"/>
          <w:u w:val="single"/>
        </w:rPr>
        <w:t>改扩建工程土建施工及设备安装</w:t>
      </w:r>
    </w:p>
    <w:p w14:paraId="1BA9C4E5">
      <w:pPr>
        <w:pStyle w:val="27"/>
        <w:spacing w:line="360" w:lineRule="auto"/>
        <w:ind w:left="4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供货期限：</w:t>
      </w:r>
      <w:r>
        <w:rPr>
          <w:rFonts w:asciiTheme="minorEastAsia" w:hAnsiTheme="minorEastAsia" w:eastAsiaTheme="minorEastAsia"/>
          <w:color w:val="000000" w:themeColor="text1"/>
          <w:sz w:val="24"/>
          <w:szCs w:val="24"/>
          <w:u w:val="single"/>
        </w:rPr>
        <w:t>2025年</w:t>
      </w:r>
      <w:r>
        <w:rPr>
          <w:rFonts w:hint="eastAsia" w:asciiTheme="minorEastAsia" w:hAnsiTheme="minorEastAsia" w:eastAsiaTheme="minorEastAsia"/>
          <w:color w:val="000000" w:themeColor="text1"/>
          <w:sz w:val="24"/>
          <w:szCs w:val="24"/>
          <w:u w:val="single"/>
        </w:rPr>
        <w:t>12</w:t>
      </w:r>
      <w:r>
        <w:rPr>
          <w:rFonts w:asciiTheme="minorEastAsia" w:hAnsiTheme="minorEastAsia" w:eastAsiaTheme="minorEastAsia"/>
          <w:color w:val="000000" w:themeColor="text1"/>
          <w:sz w:val="24"/>
          <w:szCs w:val="24"/>
          <w:u w:val="single"/>
        </w:rPr>
        <w:t>月</w:t>
      </w:r>
      <w:r>
        <w:rPr>
          <w:rFonts w:hint="eastAsia" w:asciiTheme="minorEastAsia" w:hAnsiTheme="minorEastAsia" w:eastAsiaTheme="minorEastAsia"/>
          <w:color w:val="000000" w:themeColor="text1"/>
          <w:sz w:val="24"/>
          <w:szCs w:val="24"/>
          <w:u w:val="single"/>
        </w:rPr>
        <w:t>30</w:t>
      </w:r>
      <w:r>
        <w:rPr>
          <w:rFonts w:asciiTheme="minorEastAsia" w:hAnsiTheme="minorEastAsia" w:eastAsiaTheme="minorEastAsia"/>
          <w:color w:val="000000" w:themeColor="text1"/>
          <w:sz w:val="24"/>
          <w:szCs w:val="24"/>
          <w:u w:val="single"/>
        </w:rPr>
        <w:t>日</w:t>
      </w:r>
      <w:r>
        <w:rPr>
          <w:rFonts w:hint="eastAsia" w:asciiTheme="minorEastAsia" w:hAnsiTheme="minorEastAsia" w:eastAsiaTheme="minorEastAsia"/>
          <w:color w:val="000000" w:themeColor="text1"/>
          <w:sz w:val="24"/>
          <w:szCs w:val="24"/>
          <w:u w:val="single"/>
          <w:lang w:val="en-US" w:eastAsia="zh-CN"/>
        </w:rPr>
        <w:t>前完供货结束</w:t>
      </w:r>
      <w:r>
        <w:rPr>
          <w:rFonts w:asciiTheme="minorEastAsia" w:hAnsiTheme="minorEastAsia" w:eastAsiaTheme="minorEastAsia"/>
          <w:sz w:val="24"/>
          <w:szCs w:val="24"/>
        </w:rPr>
        <w:t>，</w:t>
      </w:r>
      <w:r>
        <w:rPr>
          <w:rFonts w:hint="eastAsia" w:asciiTheme="minorEastAsia" w:hAnsiTheme="minorEastAsia" w:eastAsiaTheme="minorEastAsia"/>
          <w:sz w:val="24"/>
          <w:szCs w:val="24"/>
        </w:rPr>
        <w:t>具体供货开始和结束期限以项目部根据工期出具的通知为准</w:t>
      </w:r>
      <w:r>
        <w:rPr>
          <w:rFonts w:asciiTheme="minorEastAsia" w:hAnsiTheme="minorEastAsia" w:eastAsiaTheme="minorEastAsia"/>
          <w:sz w:val="24"/>
          <w:szCs w:val="24"/>
        </w:rPr>
        <w:t>。</w:t>
      </w:r>
    </w:p>
    <w:p w14:paraId="26C7E1CA">
      <w:pPr>
        <w:pStyle w:val="27"/>
        <w:spacing w:line="360" w:lineRule="auto"/>
        <w:ind w:left="40" w:firstLineChars="0"/>
        <w:rPr>
          <w:rFonts w:asciiTheme="minorEastAsia" w:hAnsiTheme="minorEastAsia" w:eastAsiaTheme="minorEastAsia"/>
          <w:b/>
          <w:bCs/>
          <w:sz w:val="24"/>
          <w:szCs w:val="24"/>
          <w:u w:val="single"/>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供货地点：</w:t>
      </w:r>
      <w:r>
        <w:rPr>
          <w:rFonts w:hint="eastAsia" w:asciiTheme="minorEastAsia" w:hAnsiTheme="minorEastAsia" w:eastAsiaTheme="minorEastAsia"/>
          <w:b/>
          <w:bCs/>
          <w:sz w:val="24"/>
          <w:szCs w:val="24"/>
          <w:u w:val="single"/>
        </w:rPr>
        <w:t>江苏省水利建设工程有限公司秦淮新河改扩建工程土建施工及设备安装施工现场。</w:t>
      </w:r>
    </w:p>
    <w:p w14:paraId="4A673E10">
      <w:pPr>
        <w:pStyle w:val="27"/>
        <w:spacing w:line="360" w:lineRule="auto"/>
        <w:ind w:left="472" w:hanging="432" w:firstLineChars="0"/>
        <w:rPr>
          <w:rFonts w:asciiTheme="minorEastAsia" w:hAnsiTheme="minorEastAsia" w:eastAsiaTheme="minorEastAsia"/>
          <w:b/>
          <w:sz w:val="24"/>
          <w:szCs w:val="24"/>
        </w:rPr>
      </w:pPr>
      <w:bookmarkStart w:id="12" w:name="_GoBack"/>
      <w:bookmarkEnd w:id="12"/>
      <w:r>
        <w:rPr>
          <w:rFonts w:asciiTheme="minorEastAsia" w:hAnsiTheme="minorEastAsia" w:eastAsiaTheme="minorEastAsia"/>
          <w:b/>
          <w:sz w:val="24"/>
          <w:szCs w:val="24"/>
        </w:rPr>
        <w:t>二、</w:t>
      </w:r>
      <w:r>
        <w:rPr>
          <w:rFonts w:hint="eastAsia" w:asciiTheme="minorEastAsia" w:hAnsiTheme="minorEastAsia" w:eastAsiaTheme="minorEastAsia"/>
          <w:b/>
          <w:sz w:val="24"/>
          <w:szCs w:val="24"/>
        </w:rPr>
        <w:t>桥式起重机</w:t>
      </w:r>
      <w:r>
        <w:rPr>
          <w:rFonts w:asciiTheme="minorEastAsia" w:hAnsiTheme="minorEastAsia" w:eastAsiaTheme="minorEastAsia"/>
          <w:b/>
          <w:sz w:val="24"/>
          <w:szCs w:val="24"/>
        </w:rPr>
        <w:t>供应要求：</w:t>
      </w:r>
    </w:p>
    <w:p w14:paraId="7832A008">
      <w:pPr>
        <w:pStyle w:val="23"/>
        <w:spacing w:line="360" w:lineRule="auto"/>
        <w:ind w:left="468" w:leftChars="223" w:firstLine="69" w:firstLineChars="29"/>
        <w:rPr>
          <w:rFonts w:asciiTheme="minorEastAsia" w:hAnsiTheme="minorEastAsia" w:eastAsiaTheme="minorEastAsia"/>
          <w:sz w:val="24"/>
          <w:szCs w:val="24"/>
        </w:rPr>
      </w:pPr>
      <w:r>
        <w:rPr>
          <w:rFonts w:asciiTheme="minorEastAsia" w:hAnsiTheme="minorEastAsia" w:eastAsiaTheme="minorEastAsia"/>
          <w:sz w:val="24"/>
          <w:szCs w:val="24"/>
        </w:rPr>
        <w:t>1、甲方向乙方采购的</w:t>
      </w:r>
      <w:r>
        <w:rPr>
          <w:rFonts w:hint="eastAsia" w:asciiTheme="minorEastAsia" w:hAnsiTheme="minorEastAsia" w:eastAsiaTheme="minorEastAsia"/>
          <w:sz w:val="24"/>
          <w:szCs w:val="24"/>
        </w:rPr>
        <w:t>桥式起重机</w:t>
      </w:r>
      <w:r>
        <w:rPr>
          <w:rFonts w:asciiTheme="minorEastAsia" w:hAnsiTheme="minorEastAsia" w:eastAsiaTheme="minorEastAsia"/>
          <w:sz w:val="24"/>
          <w:szCs w:val="24"/>
        </w:rPr>
        <w:t>具体品种、规格、数量及产地如下：</w:t>
      </w:r>
    </w:p>
    <w:p w14:paraId="5A9531CA">
      <w:pPr>
        <w:adjustRightInd w:val="0"/>
        <w:snapToGrid w:val="0"/>
        <w:spacing w:line="312" w:lineRule="auto"/>
        <w:ind w:left="40" w:firstLine="482" w:firstLineChars="200"/>
        <w:jc w:val="left"/>
        <w:rPr>
          <w:b/>
          <w:bCs/>
          <w:sz w:val="24"/>
          <w:szCs w:val="24"/>
        </w:rPr>
      </w:pPr>
      <w:r>
        <w:rPr>
          <w:rFonts w:hint="eastAsia"/>
          <w:b/>
          <w:bCs/>
          <w:sz w:val="24"/>
          <w:szCs w:val="24"/>
        </w:rPr>
        <w:t>（一）桥式起重机报价单</w:t>
      </w:r>
    </w:p>
    <w:tbl>
      <w:tblPr>
        <w:tblStyle w:val="16"/>
        <w:tblW w:w="9557" w:type="dxa"/>
        <w:jc w:val="center"/>
        <w:tblLayout w:type="fixed"/>
        <w:tblCellMar>
          <w:top w:w="0" w:type="dxa"/>
          <w:left w:w="23" w:type="dxa"/>
          <w:bottom w:w="0" w:type="dxa"/>
          <w:right w:w="23" w:type="dxa"/>
        </w:tblCellMar>
      </w:tblPr>
      <w:tblGrid>
        <w:gridCol w:w="1327"/>
        <w:gridCol w:w="1545"/>
        <w:gridCol w:w="1957"/>
        <w:gridCol w:w="512"/>
        <w:gridCol w:w="554"/>
        <w:gridCol w:w="880"/>
        <w:gridCol w:w="1382"/>
        <w:gridCol w:w="1400"/>
      </w:tblGrid>
      <w:tr w14:paraId="7368C2BB">
        <w:tblPrEx>
          <w:tblCellMar>
            <w:top w:w="0" w:type="dxa"/>
            <w:left w:w="23" w:type="dxa"/>
            <w:bottom w:w="0" w:type="dxa"/>
            <w:right w:w="23" w:type="dxa"/>
          </w:tblCellMar>
        </w:tblPrEx>
        <w:trPr>
          <w:trHeight w:val="425" w:hRule="atLeast"/>
          <w:tblHeader/>
          <w:jc w:val="center"/>
        </w:trPr>
        <w:tc>
          <w:tcPr>
            <w:tcW w:w="1327" w:type="dxa"/>
            <w:tcBorders>
              <w:top w:val="single" w:color="auto" w:sz="4" w:space="0"/>
              <w:left w:val="single" w:color="auto" w:sz="4" w:space="0"/>
              <w:bottom w:val="single" w:color="auto" w:sz="4" w:space="0"/>
              <w:right w:val="single" w:color="auto" w:sz="4" w:space="0"/>
            </w:tcBorders>
            <w:noWrap/>
            <w:vAlign w:val="center"/>
          </w:tcPr>
          <w:p w14:paraId="22371923">
            <w:pPr>
              <w:widowControl/>
              <w:spacing w:line="260" w:lineRule="exact"/>
              <w:jc w:val="center"/>
              <w:rPr>
                <w:rFonts w:ascii="Times New Roman" w:hAnsi="Times New Roman"/>
                <w:color w:val="000000"/>
                <w:kern w:val="0"/>
                <w:sz w:val="22"/>
                <w:szCs w:val="22"/>
              </w:rPr>
            </w:pPr>
            <w:r>
              <w:rPr>
                <w:rFonts w:ascii="Times New Roman" w:hAnsi="Times New Roman"/>
                <w:color w:val="000000"/>
                <w:kern w:val="0"/>
                <w:sz w:val="22"/>
                <w:szCs w:val="22"/>
              </w:rPr>
              <w:t>名称</w:t>
            </w:r>
          </w:p>
        </w:tc>
        <w:tc>
          <w:tcPr>
            <w:tcW w:w="1545" w:type="dxa"/>
            <w:tcBorders>
              <w:top w:val="single" w:color="auto" w:sz="4" w:space="0"/>
              <w:left w:val="nil"/>
              <w:bottom w:val="single" w:color="auto" w:sz="4" w:space="0"/>
              <w:right w:val="single" w:color="auto" w:sz="4" w:space="0"/>
            </w:tcBorders>
            <w:noWrap/>
            <w:vAlign w:val="center"/>
          </w:tcPr>
          <w:p w14:paraId="190F75FF">
            <w:pPr>
              <w:widowControl/>
              <w:spacing w:line="260" w:lineRule="exact"/>
              <w:jc w:val="center"/>
              <w:rPr>
                <w:rFonts w:ascii="Times New Roman" w:hAnsi="Times New Roman"/>
                <w:color w:val="000000"/>
                <w:kern w:val="0"/>
                <w:sz w:val="22"/>
                <w:szCs w:val="22"/>
              </w:rPr>
            </w:pPr>
            <w:r>
              <w:rPr>
                <w:rFonts w:ascii="Times New Roman" w:hAnsi="Times New Roman"/>
                <w:color w:val="000000"/>
                <w:kern w:val="0"/>
                <w:sz w:val="22"/>
                <w:szCs w:val="22"/>
              </w:rPr>
              <w:t>型号</w:t>
            </w:r>
          </w:p>
        </w:tc>
        <w:tc>
          <w:tcPr>
            <w:tcW w:w="1957" w:type="dxa"/>
            <w:tcBorders>
              <w:top w:val="single" w:color="auto" w:sz="4" w:space="0"/>
              <w:left w:val="nil"/>
              <w:bottom w:val="single" w:color="auto" w:sz="4" w:space="0"/>
              <w:right w:val="single" w:color="auto" w:sz="4" w:space="0"/>
            </w:tcBorders>
            <w:noWrap/>
            <w:vAlign w:val="center"/>
          </w:tcPr>
          <w:p w14:paraId="7B8C5361">
            <w:pPr>
              <w:widowControl/>
              <w:spacing w:line="260" w:lineRule="exact"/>
              <w:jc w:val="center"/>
              <w:rPr>
                <w:rFonts w:ascii="Times New Roman" w:hAnsi="Times New Roman"/>
                <w:color w:val="000000"/>
                <w:kern w:val="0"/>
                <w:sz w:val="22"/>
                <w:szCs w:val="22"/>
              </w:rPr>
            </w:pPr>
            <w:r>
              <w:rPr>
                <w:rFonts w:ascii="Times New Roman" w:hAnsi="Times New Roman"/>
                <w:color w:val="000000"/>
                <w:kern w:val="0"/>
                <w:sz w:val="22"/>
                <w:szCs w:val="22"/>
              </w:rPr>
              <w:t>特征描述</w:t>
            </w:r>
          </w:p>
        </w:tc>
        <w:tc>
          <w:tcPr>
            <w:tcW w:w="512" w:type="dxa"/>
            <w:tcBorders>
              <w:top w:val="single" w:color="auto" w:sz="4" w:space="0"/>
              <w:left w:val="nil"/>
              <w:bottom w:val="single" w:color="auto" w:sz="4" w:space="0"/>
              <w:right w:val="single" w:color="auto" w:sz="4" w:space="0"/>
            </w:tcBorders>
            <w:noWrap/>
            <w:vAlign w:val="center"/>
          </w:tcPr>
          <w:p w14:paraId="406496ED">
            <w:pPr>
              <w:widowControl/>
              <w:spacing w:line="26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计量</w:t>
            </w:r>
            <w:r>
              <w:rPr>
                <w:rFonts w:ascii="Times New Roman" w:hAnsi="Times New Roman"/>
                <w:color w:val="000000"/>
                <w:kern w:val="0"/>
                <w:sz w:val="22"/>
                <w:szCs w:val="22"/>
              </w:rPr>
              <w:t>单位</w:t>
            </w:r>
          </w:p>
        </w:tc>
        <w:tc>
          <w:tcPr>
            <w:tcW w:w="554" w:type="dxa"/>
            <w:tcBorders>
              <w:top w:val="single" w:color="auto" w:sz="4" w:space="0"/>
              <w:left w:val="nil"/>
              <w:bottom w:val="single" w:color="auto" w:sz="4" w:space="0"/>
              <w:right w:val="single" w:color="auto" w:sz="4" w:space="0"/>
            </w:tcBorders>
            <w:noWrap/>
            <w:vAlign w:val="center"/>
          </w:tcPr>
          <w:p w14:paraId="657ECBB5">
            <w:pPr>
              <w:widowControl/>
              <w:spacing w:line="260" w:lineRule="exact"/>
              <w:jc w:val="center"/>
              <w:rPr>
                <w:rFonts w:ascii="Times New Roman" w:hAnsi="Times New Roman"/>
                <w:color w:val="000000"/>
                <w:kern w:val="0"/>
                <w:sz w:val="22"/>
                <w:szCs w:val="22"/>
              </w:rPr>
            </w:pPr>
            <w:r>
              <w:rPr>
                <w:rFonts w:ascii="Times New Roman" w:hAnsi="Times New Roman"/>
                <w:color w:val="000000"/>
                <w:kern w:val="0"/>
                <w:sz w:val="22"/>
                <w:szCs w:val="22"/>
              </w:rPr>
              <w:t>数量</w:t>
            </w:r>
          </w:p>
        </w:tc>
        <w:tc>
          <w:tcPr>
            <w:tcW w:w="880" w:type="dxa"/>
            <w:tcBorders>
              <w:top w:val="single" w:color="auto" w:sz="4" w:space="0"/>
              <w:left w:val="nil"/>
              <w:bottom w:val="single" w:color="auto" w:sz="4" w:space="0"/>
              <w:right w:val="single" w:color="auto" w:sz="4" w:space="0"/>
            </w:tcBorders>
            <w:vAlign w:val="center"/>
          </w:tcPr>
          <w:p w14:paraId="1F6C2161">
            <w:pPr>
              <w:widowControl/>
              <w:spacing w:line="260" w:lineRule="exact"/>
              <w:jc w:val="center"/>
              <w:rPr>
                <w:rFonts w:ascii="Times New Roman" w:hAnsi="Times New Roman"/>
                <w:color w:val="000000"/>
                <w:kern w:val="0"/>
                <w:sz w:val="22"/>
                <w:szCs w:val="22"/>
              </w:rPr>
            </w:pPr>
            <w:r>
              <w:rPr>
                <w:rFonts w:ascii="Times New Roman" w:hAnsi="Times New Roman"/>
                <w:color w:val="000000"/>
                <w:kern w:val="0"/>
                <w:sz w:val="22"/>
                <w:szCs w:val="22"/>
              </w:rPr>
              <w:t>含税单价（元）</w:t>
            </w:r>
          </w:p>
        </w:tc>
        <w:tc>
          <w:tcPr>
            <w:tcW w:w="1382" w:type="dxa"/>
            <w:tcBorders>
              <w:top w:val="single" w:color="auto" w:sz="4" w:space="0"/>
              <w:left w:val="nil"/>
              <w:bottom w:val="single" w:color="auto" w:sz="4" w:space="0"/>
              <w:right w:val="single" w:color="auto" w:sz="4" w:space="0"/>
            </w:tcBorders>
            <w:vAlign w:val="center"/>
          </w:tcPr>
          <w:p w14:paraId="1887D3C7">
            <w:pPr>
              <w:widowControl/>
              <w:spacing w:line="260" w:lineRule="exact"/>
              <w:jc w:val="center"/>
              <w:rPr>
                <w:rFonts w:ascii="Times New Roman" w:hAnsi="Times New Roman"/>
                <w:color w:val="000000"/>
                <w:kern w:val="0"/>
                <w:sz w:val="22"/>
                <w:szCs w:val="22"/>
              </w:rPr>
            </w:pPr>
            <w:r>
              <w:rPr>
                <w:rFonts w:ascii="Times New Roman" w:hAnsi="Times New Roman"/>
                <w:color w:val="000000"/>
                <w:kern w:val="0"/>
                <w:sz w:val="22"/>
                <w:szCs w:val="22"/>
              </w:rPr>
              <w:t>含税合价（元）</w:t>
            </w:r>
          </w:p>
        </w:tc>
        <w:tc>
          <w:tcPr>
            <w:tcW w:w="1400" w:type="dxa"/>
            <w:tcBorders>
              <w:top w:val="single" w:color="auto" w:sz="4" w:space="0"/>
              <w:left w:val="nil"/>
              <w:bottom w:val="single" w:color="auto" w:sz="4" w:space="0"/>
              <w:right w:val="single" w:color="auto" w:sz="4" w:space="0"/>
            </w:tcBorders>
            <w:noWrap/>
            <w:vAlign w:val="center"/>
          </w:tcPr>
          <w:p w14:paraId="6638C12D">
            <w:pPr>
              <w:widowControl/>
              <w:spacing w:line="260" w:lineRule="exact"/>
              <w:jc w:val="center"/>
              <w:rPr>
                <w:rFonts w:ascii="Times New Roman" w:hAnsi="Times New Roman"/>
                <w:color w:val="000000"/>
                <w:kern w:val="0"/>
                <w:sz w:val="22"/>
                <w:szCs w:val="22"/>
              </w:rPr>
            </w:pPr>
            <w:r>
              <w:rPr>
                <w:rFonts w:ascii="Times New Roman" w:hAnsi="Times New Roman"/>
                <w:color w:val="000000"/>
                <w:kern w:val="0"/>
                <w:sz w:val="22"/>
                <w:szCs w:val="22"/>
              </w:rPr>
              <w:t>备注</w:t>
            </w:r>
          </w:p>
        </w:tc>
      </w:tr>
      <w:tr w14:paraId="2A3D1D2F">
        <w:tblPrEx>
          <w:tblCellMar>
            <w:top w:w="0" w:type="dxa"/>
            <w:left w:w="23" w:type="dxa"/>
            <w:bottom w:w="0" w:type="dxa"/>
            <w:right w:w="23" w:type="dxa"/>
          </w:tblCellMar>
        </w:tblPrEx>
        <w:trPr>
          <w:trHeight w:val="425" w:hRule="atLeast"/>
          <w:jc w:val="center"/>
        </w:trPr>
        <w:tc>
          <w:tcPr>
            <w:tcW w:w="1327" w:type="dxa"/>
            <w:tcBorders>
              <w:top w:val="nil"/>
              <w:left w:val="single" w:color="auto" w:sz="4" w:space="0"/>
              <w:bottom w:val="single" w:color="auto" w:sz="4" w:space="0"/>
              <w:right w:val="single" w:color="auto" w:sz="4" w:space="0"/>
            </w:tcBorders>
            <w:vAlign w:val="center"/>
          </w:tcPr>
          <w:p w14:paraId="1E4E8293">
            <w:pPr>
              <w:widowControl/>
              <w:spacing w:line="26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电动双梁桥式起重机（含轨道、车档、预埋件等配件）</w:t>
            </w:r>
          </w:p>
        </w:tc>
        <w:tc>
          <w:tcPr>
            <w:tcW w:w="1545" w:type="dxa"/>
            <w:tcBorders>
              <w:top w:val="nil"/>
              <w:left w:val="nil"/>
              <w:bottom w:val="single" w:color="auto" w:sz="4" w:space="0"/>
              <w:right w:val="single" w:color="auto" w:sz="4" w:space="0"/>
            </w:tcBorders>
            <w:vAlign w:val="center"/>
          </w:tcPr>
          <w:p w14:paraId="623C3943">
            <w:pPr>
              <w:widowControl/>
              <w:spacing w:line="26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320/50kN，跨距12.7m，起吊行程：29.2m</w:t>
            </w:r>
          </w:p>
        </w:tc>
        <w:tc>
          <w:tcPr>
            <w:tcW w:w="1957" w:type="dxa"/>
            <w:tcBorders>
              <w:top w:val="nil"/>
              <w:left w:val="nil"/>
              <w:bottom w:val="single" w:color="auto" w:sz="4" w:space="0"/>
              <w:right w:val="single" w:color="auto" w:sz="4" w:space="0"/>
            </w:tcBorders>
            <w:vAlign w:val="center"/>
          </w:tcPr>
          <w:p w14:paraId="5467CC3C">
            <w:pPr>
              <w:widowControl/>
              <w:spacing w:line="26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相关参数需出图纸由设计单位及建设单位确认</w:t>
            </w:r>
          </w:p>
        </w:tc>
        <w:tc>
          <w:tcPr>
            <w:tcW w:w="512" w:type="dxa"/>
            <w:tcBorders>
              <w:top w:val="nil"/>
              <w:left w:val="nil"/>
              <w:bottom w:val="single" w:color="auto" w:sz="4" w:space="0"/>
              <w:right w:val="single" w:color="auto" w:sz="4" w:space="0"/>
            </w:tcBorders>
            <w:vAlign w:val="center"/>
          </w:tcPr>
          <w:p w14:paraId="12AA9DD6">
            <w:pPr>
              <w:widowControl/>
              <w:spacing w:line="26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台套</w:t>
            </w:r>
          </w:p>
        </w:tc>
        <w:tc>
          <w:tcPr>
            <w:tcW w:w="554" w:type="dxa"/>
            <w:tcBorders>
              <w:top w:val="nil"/>
              <w:left w:val="nil"/>
              <w:bottom w:val="single" w:color="auto" w:sz="4" w:space="0"/>
              <w:right w:val="single" w:color="auto" w:sz="4" w:space="0"/>
            </w:tcBorders>
            <w:noWrap/>
            <w:vAlign w:val="center"/>
          </w:tcPr>
          <w:p w14:paraId="48365EA8">
            <w:pPr>
              <w:widowControl/>
              <w:spacing w:line="26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1</w:t>
            </w:r>
          </w:p>
        </w:tc>
        <w:tc>
          <w:tcPr>
            <w:tcW w:w="880" w:type="dxa"/>
            <w:tcBorders>
              <w:top w:val="nil"/>
              <w:left w:val="nil"/>
              <w:bottom w:val="single" w:color="auto" w:sz="4" w:space="0"/>
              <w:right w:val="single" w:color="auto" w:sz="4" w:space="0"/>
            </w:tcBorders>
            <w:noWrap/>
            <w:vAlign w:val="center"/>
          </w:tcPr>
          <w:p w14:paraId="2A8A22B1">
            <w:pPr>
              <w:widowControl/>
              <w:spacing w:line="260" w:lineRule="exact"/>
              <w:jc w:val="center"/>
              <w:rPr>
                <w:rFonts w:ascii="Times New Roman" w:hAnsi="Times New Roman"/>
                <w:color w:val="000000"/>
                <w:kern w:val="0"/>
                <w:sz w:val="22"/>
                <w:szCs w:val="22"/>
              </w:rPr>
            </w:pPr>
          </w:p>
        </w:tc>
        <w:tc>
          <w:tcPr>
            <w:tcW w:w="1382" w:type="dxa"/>
            <w:tcBorders>
              <w:top w:val="nil"/>
              <w:left w:val="nil"/>
              <w:bottom w:val="single" w:color="auto" w:sz="4" w:space="0"/>
              <w:right w:val="single" w:color="auto" w:sz="4" w:space="0"/>
            </w:tcBorders>
            <w:noWrap/>
            <w:vAlign w:val="center"/>
          </w:tcPr>
          <w:p w14:paraId="1A284BD6">
            <w:pPr>
              <w:widowControl/>
              <w:spacing w:line="260" w:lineRule="exact"/>
              <w:jc w:val="center"/>
              <w:rPr>
                <w:rFonts w:ascii="Times New Roman" w:hAnsi="Times New Roman"/>
                <w:color w:val="000000"/>
                <w:kern w:val="0"/>
                <w:sz w:val="22"/>
                <w:szCs w:val="22"/>
              </w:rPr>
            </w:pPr>
          </w:p>
        </w:tc>
        <w:tc>
          <w:tcPr>
            <w:tcW w:w="1400" w:type="dxa"/>
            <w:tcBorders>
              <w:top w:val="nil"/>
              <w:left w:val="nil"/>
              <w:bottom w:val="single" w:color="auto" w:sz="4" w:space="0"/>
              <w:right w:val="single" w:color="auto" w:sz="4" w:space="0"/>
            </w:tcBorders>
            <w:noWrap/>
            <w:vAlign w:val="center"/>
          </w:tcPr>
          <w:p w14:paraId="41032EA6">
            <w:pPr>
              <w:widowControl/>
              <w:spacing w:line="26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含安装及特种设备行业报验等</w:t>
            </w:r>
          </w:p>
        </w:tc>
      </w:tr>
      <w:tr w14:paraId="1DB82CF3">
        <w:tblPrEx>
          <w:tblCellMar>
            <w:top w:w="0" w:type="dxa"/>
            <w:left w:w="23" w:type="dxa"/>
            <w:bottom w:w="0" w:type="dxa"/>
            <w:right w:w="23" w:type="dxa"/>
          </w:tblCellMar>
        </w:tblPrEx>
        <w:trPr>
          <w:trHeight w:val="425" w:hRule="atLeast"/>
          <w:jc w:val="center"/>
        </w:trPr>
        <w:tc>
          <w:tcPr>
            <w:tcW w:w="1327" w:type="dxa"/>
            <w:tcBorders>
              <w:top w:val="nil"/>
              <w:left w:val="single" w:color="auto" w:sz="4" w:space="0"/>
              <w:bottom w:val="single" w:color="auto" w:sz="4" w:space="0"/>
              <w:right w:val="single" w:color="auto" w:sz="4" w:space="0"/>
            </w:tcBorders>
            <w:vAlign w:val="center"/>
          </w:tcPr>
          <w:p w14:paraId="5594A864">
            <w:pPr>
              <w:widowControl/>
              <w:spacing w:line="26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电动双梁桥式起重机（含轨道、车档、预埋件等配件）</w:t>
            </w:r>
          </w:p>
        </w:tc>
        <w:tc>
          <w:tcPr>
            <w:tcW w:w="1545" w:type="dxa"/>
            <w:tcBorders>
              <w:top w:val="nil"/>
              <w:left w:val="nil"/>
              <w:bottom w:val="single" w:color="auto" w:sz="4" w:space="0"/>
              <w:right w:val="single" w:color="auto" w:sz="4" w:space="0"/>
            </w:tcBorders>
            <w:vAlign w:val="center"/>
          </w:tcPr>
          <w:p w14:paraId="566B05E3">
            <w:pPr>
              <w:widowControl/>
              <w:spacing w:line="26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300kN，跨距：8.1m，起吊行程：24.2m</w:t>
            </w:r>
          </w:p>
        </w:tc>
        <w:tc>
          <w:tcPr>
            <w:tcW w:w="1957" w:type="dxa"/>
            <w:tcBorders>
              <w:top w:val="nil"/>
              <w:left w:val="nil"/>
              <w:bottom w:val="single" w:color="auto" w:sz="4" w:space="0"/>
              <w:right w:val="single" w:color="auto" w:sz="4" w:space="0"/>
            </w:tcBorders>
            <w:vAlign w:val="center"/>
          </w:tcPr>
          <w:p w14:paraId="15FFD232">
            <w:pPr>
              <w:widowControl/>
              <w:spacing w:line="26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相关参数需出图纸由设计单位及建设单位确认</w:t>
            </w:r>
          </w:p>
        </w:tc>
        <w:tc>
          <w:tcPr>
            <w:tcW w:w="512" w:type="dxa"/>
            <w:tcBorders>
              <w:top w:val="nil"/>
              <w:left w:val="nil"/>
              <w:bottom w:val="single" w:color="auto" w:sz="4" w:space="0"/>
              <w:right w:val="single" w:color="auto" w:sz="4" w:space="0"/>
            </w:tcBorders>
            <w:vAlign w:val="center"/>
          </w:tcPr>
          <w:p w14:paraId="3AE8274A">
            <w:pPr>
              <w:widowControl/>
              <w:spacing w:line="26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台套</w:t>
            </w:r>
          </w:p>
        </w:tc>
        <w:tc>
          <w:tcPr>
            <w:tcW w:w="554" w:type="dxa"/>
            <w:tcBorders>
              <w:top w:val="nil"/>
              <w:left w:val="nil"/>
              <w:bottom w:val="single" w:color="auto" w:sz="4" w:space="0"/>
              <w:right w:val="single" w:color="auto" w:sz="4" w:space="0"/>
            </w:tcBorders>
            <w:noWrap/>
            <w:vAlign w:val="center"/>
          </w:tcPr>
          <w:p w14:paraId="257AB8E0">
            <w:pPr>
              <w:widowControl/>
              <w:spacing w:line="26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2</w:t>
            </w:r>
          </w:p>
        </w:tc>
        <w:tc>
          <w:tcPr>
            <w:tcW w:w="880" w:type="dxa"/>
            <w:tcBorders>
              <w:top w:val="nil"/>
              <w:left w:val="nil"/>
              <w:bottom w:val="single" w:color="auto" w:sz="4" w:space="0"/>
              <w:right w:val="single" w:color="auto" w:sz="4" w:space="0"/>
            </w:tcBorders>
            <w:noWrap/>
            <w:vAlign w:val="center"/>
          </w:tcPr>
          <w:p w14:paraId="6CB59714">
            <w:pPr>
              <w:widowControl/>
              <w:spacing w:line="260" w:lineRule="exact"/>
              <w:jc w:val="center"/>
              <w:rPr>
                <w:rFonts w:ascii="Times New Roman" w:hAnsi="Times New Roman"/>
                <w:color w:val="000000"/>
                <w:kern w:val="0"/>
                <w:sz w:val="22"/>
                <w:szCs w:val="22"/>
              </w:rPr>
            </w:pPr>
          </w:p>
        </w:tc>
        <w:tc>
          <w:tcPr>
            <w:tcW w:w="1382" w:type="dxa"/>
            <w:tcBorders>
              <w:top w:val="nil"/>
              <w:left w:val="nil"/>
              <w:bottom w:val="single" w:color="auto" w:sz="4" w:space="0"/>
              <w:right w:val="single" w:color="auto" w:sz="4" w:space="0"/>
            </w:tcBorders>
            <w:noWrap/>
            <w:vAlign w:val="center"/>
          </w:tcPr>
          <w:p w14:paraId="7E7D9911">
            <w:pPr>
              <w:widowControl/>
              <w:spacing w:line="260" w:lineRule="exact"/>
              <w:jc w:val="center"/>
              <w:rPr>
                <w:rFonts w:ascii="Times New Roman" w:hAnsi="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14:paraId="7A797051">
            <w:pPr>
              <w:widowControl/>
              <w:spacing w:line="26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含安装及特种设备行业报验等</w:t>
            </w:r>
          </w:p>
        </w:tc>
      </w:tr>
      <w:tr w14:paraId="08C17277">
        <w:tblPrEx>
          <w:tblCellMar>
            <w:top w:w="0" w:type="dxa"/>
            <w:left w:w="23" w:type="dxa"/>
            <w:bottom w:w="0" w:type="dxa"/>
            <w:right w:w="23" w:type="dxa"/>
          </w:tblCellMar>
        </w:tblPrEx>
        <w:trPr>
          <w:trHeight w:val="425" w:hRule="atLeast"/>
          <w:jc w:val="center"/>
        </w:trPr>
        <w:tc>
          <w:tcPr>
            <w:tcW w:w="1327" w:type="dxa"/>
            <w:tcBorders>
              <w:top w:val="nil"/>
              <w:left w:val="single" w:color="auto" w:sz="4" w:space="0"/>
              <w:bottom w:val="single" w:color="auto" w:sz="4" w:space="0"/>
              <w:right w:val="single" w:color="auto" w:sz="4" w:space="0"/>
            </w:tcBorders>
            <w:vAlign w:val="center"/>
          </w:tcPr>
          <w:p w14:paraId="105ACDAC">
            <w:pPr>
              <w:widowControl/>
              <w:spacing w:line="26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轨道</w:t>
            </w:r>
          </w:p>
        </w:tc>
        <w:tc>
          <w:tcPr>
            <w:tcW w:w="1545" w:type="dxa"/>
            <w:tcBorders>
              <w:top w:val="nil"/>
              <w:left w:val="nil"/>
              <w:bottom w:val="single" w:color="auto" w:sz="4" w:space="0"/>
              <w:right w:val="single" w:color="auto" w:sz="4" w:space="0"/>
            </w:tcBorders>
            <w:vAlign w:val="center"/>
          </w:tcPr>
          <w:p w14:paraId="57E36B5B">
            <w:pPr>
              <w:widowControl/>
              <w:spacing w:line="26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QU70</w:t>
            </w:r>
          </w:p>
        </w:tc>
        <w:tc>
          <w:tcPr>
            <w:tcW w:w="1957" w:type="dxa"/>
            <w:tcBorders>
              <w:top w:val="nil"/>
              <w:left w:val="nil"/>
              <w:bottom w:val="single" w:color="auto" w:sz="4" w:space="0"/>
              <w:right w:val="single" w:color="auto" w:sz="4" w:space="0"/>
            </w:tcBorders>
            <w:vAlign w:val="center"/>
          </w:tcPr>
          <w:p w14:paraId="6FF0AF44">
            <w:pPr>
              <w:widowControl/>
              <w:spacing w:line="260" w:lineRule="exact"/>
              <w:jc w:val="center"/>
              <w:rPr>
                <w:rFonts w:ascii="Times New Roman" w:hAnsi="Times New Roman"/>
                <w:color w:val="000000"/>
                <w:kern w:val="0"/>
                <w:sz w:val="22"/>
                <w:szCs w:val="22"/>
              </w:rPr>
            </w:pPr>
          </w:p>
        </w:tc>
        <w:tc>
          <w:tcPr>
            <w:tcW w:w="512" w:type="dxa"/>
            <w:tcBorders>
              <w:top w:val="nil"/>
              <w:left w:val="nil"/>
              <w:bottom w:val="single" w:color="auto" w:sz="4" w:space="0"/>
              <w:right w:val="single" w:color="auto" w:sz="4" w:space="0"/>
            </w:tcBorders>
            <w:vAlign w:val="center"/>
          </w:tcPr>
          <w:p w14:paraId="46FE3B01">
            <w:pPr>
              <w:widowControl/>
              <w:spacing w:line="26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m</w:t>
            </w:r>
          </w:p>
        </w:tc>
        <w:tc>
          <w:tcPr>
            <w:tcW w:w="554" w:type="dxa"/>
            <w:tcBorders>
              <w:top w:val="nil"/>
              <w:left w:val="nil"/>
              <w:bottom w:val="single" w:color="auto" w:sz="4" w:space="0"/>
              <w:right w:val="single" w:color="auto" w:sz="4" w:space="0"/>
            </w:tcBorders>
            <w:noWrap/>
            <w:vAlign w:val="center"/>
          </w:tcPr>
          <w:p w14:paraId="6C426822">
            <w:pPr>
              <w:widowControl/>
              <w:spacing w:line="26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300</w:t>
            </w:r>
          </w:p>
        </w:tc>
        <w:tc>
          <w:tcPr>
            <w:tcW w:w="880" w:type="dxa"/>
            <w:tcBorders>
              <w:top w:val="nil"/>
              <w:left w:val="nil"/>
              <w:bottom w:val="single" w:color="auto" w:sz="4" w:space="0"/>
              <w:right w:val="single" w:color="auto" w:sz="4" w:space="0"/>
            </w:tcBorders>
            <w:noWrap/>
            <w:vAlign w:val="center"/>
          </w:tcPr>
          <w:p w14:paraId="36FC0E96">
            <w:pPr>
              <w:widowControl/>
              <w:spacing w:line="260" w:lineRule="exact"/>
              <w:jc w:val="center"/>
              <w:rPr>
                <w:rFonts w:ascii="Times New Roman" w:hAnsi="Times New Roman"/>
                <w:color w:val="000000"/>
                <w:kern w:val="0"/>
                <w:sz w:val="22"/>
                <w:szCs w:val="22"/>
              </w:rPr>
            </w:pPr>
          </w:p>
        </w:tc>
        <w:tc>
          <w:tcPr>
            <w:tcW w:w="1382" w:type="dxa"/>
            <w:tcBorders>
              <w:top w:val="nil"/>
              <w:left w:val="nil"/>
              <w:bottom w:val="single" w:color="auto" w:sz="4" w:space="0"/>
              <w:right w:val="single" w:color="auto" w:sz="4" w:space="0"/>
            </w:tcBorders>
            <w:noWrap/>
            <w:vAlign w:val="center"/>
          </w:tcPr>
          <w:p w14:paraId="28EFBAE5">
            <w:pPr>
              <w:widowControl/>
              <w:spacing w:line="260" w:lineRule="exact"/>
              <w:jc w:val="center"/>
              <w:rPr>
                <w:rFonts w:ascii="Times New Roman" w:hAnsi="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14:paraId="037CBE81">
            <w:pPr>
              <w:widowControl/>
              <w:spacing w:line="26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含安装（工程量以实际结算量为准）</w:t>
            </w:r>
          </w:p>
        </w:tc>
      </w:tr>
      <w:tr w14:paraId="3A1F1DB9">
        <w:tblPrEx>
          <w:tblCellMar>
            <w:top w:w="0" w:type="dxa"/>
            <w:left w:w="23" w:type="dxa"/>
            <w:bottom w:w="0" w:type="dxa"/>
            <w:right w:w="23" w:type="dxa"/>
          </w:tblCellMar>
        </w:tblPrEx>
        <w:trPr>
          <w:trHeight w:val="425" w:hRule="atLeast"/>
          <w:jc w:val="center"/>
        </w:trPr>
        <w:tc>
          <w:tcPr>
            <w:tcW w:w="1327" w:type="dxa"/>
            <w:tcBorders>
              <w:top w:val="nil"/>
              <w:left w:val="single" w:color="000000" w:sz="4" w:space="0"/>
              <w:bottom w:val="single" w:color="000000" w:sz="4" w:space="0"/>
              <w:right w:val="single" w:color="000000" w:sz="4" w:space="0"/>
            </w:tcBorders>
            <w:vAlign w:val="center"/>
          </w:tcPr>
          <w:p w14:paraId="770CDB94">
            <w:pPr>
              <w:widowControl/>
              <w:spacing w:line="26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封闭滑触线</w:t>
            </w:r>
          </w:p>
        </w:tc>
        <w:tc>
          <w:tcPr>
            <w:tcW w:w="1545" w:type="dxa"/>
            <w:tcBorders>
              <w:top w:val="nil"/>
              <w:left w:val="nil"/>
              <w:bottom w:val="single" w:color="000000" w:sz="4" w:space="0"/>
              <w:right w:val="single" w:color="000000" w:sz="4" w:space="0"/>
            </w:tcBorders>
            <w:vAlign w:val="center"/>
          </w:tcPr>
          <w:p w14:paraId="48C9DE9A">
            <w:pPr>
              <w:widowControl/>
              <w:spacing w:line="260" w:lineRule="exact"/>
              <w:jc w:val="center"/>
              <w:rPr>
                <w:rFonts w:ascii="Times New Roman" w:hAnsi="Times New Roman"/>
                <w:color w:val="000000"/>
                <w:kern w:val="0"/>
                <w:sz w:val="22"/>
                <w:szCs w:val="22"/>
              </w:rPr>
            </w:pPr>
          </w:p>
        </w:tc>
        <w:tc>
          <w:tcPr>
            <w:tcW w:w="1957" w:type="dxa"/>
            <w:tcBorders>
              <w:top w:val="nil"/>
              <w:left w:val="nil"/>
              <w:bottom w:val="single" w:color="000000" w:sz="4" w:space="0"/>
              <w:right w:val="single" w:color="000000" w:sz="4" w:space="0"/>
            </w:tcBorders>
            <w:vAlign w:val="center"/>
          </w:tcPr>
          <w:p w14:paraId="12CC5008">
            <w:pPr>
              <w:widowControl/>
              <w:spacing w:line="260" w:lineRule="exact"/>
              <w:jc w:val="center"/>
              <w:rPr>
                <w:rFonts w:ascii="Times New Roman" w:hAnsi="Times New Roman"/>
                <w:color w:val="000000"/>
                <w:kern w:val="0"/>
                <w:sz w:val="22"/>
                <w:szCs w:val="22"/>
              </w:rPr>
            </w:pPr>
          </w:p>
        </w:tc>
        <w:tc>
          <w:tcPr>
            <w:tcW w:w="512" w:type="dxa"/>
            <w:tcBorders>
              <w:top w:val="nil"/>
              <w:left w:val="nil"/>
              <w:bottom w:val="single" w:color="000000" w:sz="4" w:space="0"/>
              <w:right w:val="single" w:color="000000" w:sz="4" w:space="0"/>
            </w:tcBorders>
            <w:vAlign w:val="center"/>
          </w:tcPr>
          <w:p w14:paraId="44A59D26">
            <w:pPr>
              <w:widowControl/>
              <w:spacing w:line="26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m</w:t>
            </w:r>
          </w:p>
        </w:tc>
        <w:tc>
          <w:tcPr>
            <w:tcW w:w="554" w:type="dxa"/>
            <w:tcBorders>
              <w:top w:val="nil"/>
              <w:left w:val="nil"/>
              <w:bottom w:val="single" w:color="000000" w:sz="4" w:space="0"/>
              <w:right w:val="single" w:color="000000" w:sz="4" w:space="0"/>
            </w:tcBorders>
            <w:noWrap/>
            <w:vAlign w:val="center"/>
          </w:tcPr>
          <w:p w14:paraId="6DBD462B">
            <w:pPr>
              <w:widowControl/>
              <w:spacing w:line="26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150</w:t>
            </w:r>
          </w:p>
        </w:tc>
        <w:tc>
          <w:tcPr>
            <w:tcW w:w="880" w:type="dxa"/>
            <w:tcBorders>
              <w:top w:val="nil"/>
              <w:left w:val="nil"/>
              <w:bottom w:val="single" w:color="000000" w:sz="4" w:space="0"/>
              <w:right w:val="single" w:color="000000" w:sz="4" w:space="0"/>
            </w:tcBorders>
            <w:noWrap/>
            <w:vAlign w:val="center"/>
          </w:tcPr>
          <w:p w14:paraId="23BA6FD5">
            <w:pPr>
              <w:widowControl/>
              <w:spacing w:line="260" w:lineRule="exact"/>
              <w:jc w:val="center"/>
              <w:rPr>
                <w:rFonts w:ascii="Times New Roman" w:hAnsi="Times New Roman"/>
                <w:color w:val="000000"/>
                <w:kern w:val="0"/>
                <w:sz w:val="22"/>
                <w:szCs w:val="22"/>
              </w:rPr>
            </w:pPr>
          </w:p>
        </w:tc>
        <w:tc>
          <w:tcPr>
            <w:tcW w:w="1382" w:type="dxa"/>
            <w:tcBorders>
              <w:top w:val="nil"/>
              <w:left w:val="single" w:color="auto" w:sz="4" w:space="0"/>
              <w:bottom w:val="single" w:color="auto" w:sz="4" w:space="0"/>
              <w:right w:val="single" w:color="auto" w:sz="4" w:space="0"/>
            </w:tcBorders>
            <w:noWrap/>
            <w:vAlign w:val="center"/>
          </w:tcPr>
          <w:p w14:paraId="2C816622">
            <w:pPr>
              <w:widowControl/>
              <w:spacing w:line="260" w:lineRule="exact"/>
              <w:jc w:val="center"/>
              <w:rPr>
                <w:rFonts w:ascii="Times New Roman" w:hAnsi="Times New Roman"/>
                <w:color w:val="000000"/>
                <w:kern w:val="0"/>
                <w:sz w:val="22"/>
                <w:szCs w:val="22"/>
              </w:rPr>
            </w:pPr>
          </w:p>
        </w:tc>
        <w:tc>
          <w:tcPr>
            <w:tcW w:w="1400" w:type="dxa"/>
            <w:tcBorders>
              <w:top w:val="nil"/>
              <w:left w:val="single" w:color="000000" w:sz="4" w:space="0"/>
              <w:bottom w:val="single" w:color="auto" w:sz="4" w:space="0"/>
              <w:right w:val="single" w:color="000000" w:sz="4" w:space="0"/>
            </w:tcBorders>
            <w:vAlign w:val="center"/>
          </w:tcPr>
          <w:p w14:paraId="6D2557F6">
            <w:pPr>
              <w:widowControl/>
              <w:spacing w:line="26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含安装（工程量以实际结算量为准）</w:t>
            </w:r>
          </w:p>
        </w:tc>
      </w:tr>
      <w:tr w14:paraId="3F86573B">
        <w:tblPrEx>
          <w:tblCellMar>
            <w:top w:w="0" w:type="dxa"/>
            <w:left w:w="23" w:type="dxa"/>
            <w:bottom w:w="0" w:type="dxa"/>
            <w:right w:w="23" w:type="dxa"/>
          </w:tblCellMar>
        </w:tblPrEx>
        <w:trPr>
          <w:trHeight w:val="425" w:hRule="atLeast"/>
          <w:jc w:val="center"/>
        </w:trPr>
        <w:tc>
          <w:tcPr>
            <w:tcW w:w="6775" w:type="dxa"/>
            <w:gridSpan w:val="6"/>
            <w:tcBorders>
              <w:top w:val="single" w:color="auto" w:sz="4" w:space="0"/>
              <w:left w:val="single" w:color="auto" w:sz="4" w:space="0"/>
              <w:bottom w:val="single" w:color="auto" w:sz="4" w:space="0"/>
              <w:right w:val="single" w:color="auto" w:sz="4" w:space="0"/>
            </w:tcBorders>
            <w:vAlign w:val="center"/>
          </w:tcPr>
          <w:p w14:paraId="0217D772">
            <w:pPr>
              <w:widowControl/>
              <w:spacing w:line="260" w:lineRule="exact"/>
              <w:jc w:val="left"/>
              <w:rPr>
                <w:rFonts w:ascii="Times New Roman" w:hAnsi="Times New Roman"/>
                <w:color w:val="000000"/>
                <w:kern w:val="0"/>
                <w:sz w:val="22"/>
                <w:szCs w:val="22"/>
              </w:rPr>
            </w:pPr>
            <w:r>
              <w:rPr>
                <w:rFonts w:ascii="Times New Roman" w:hAnsi="Times New Roman"/>
                <w:color w:val="000000"/>
                <w:kern w:val="0"/>
                <w:sz w:val="22"/>
                <w:szCs w:val="22"/>
              </w:rPr>
              <w:t>合计（人民币大写）：</w:t>
            </w:r>
          </w:p>
        </w:tc>
        <w:tc>
          <w:tcPr>
            <w:tcW w:w="1382" w:type="dxa"/>
            <w:tcBorders>
              <w:top w:val="single" w:color="auto" w:sz="4" w:space="0"/>
              <w:left w:val="single" w:color="auto" w:sz="4" w:space="0"/>
              <w:bottom w:val="single" w:color="auto" w:sz="4" w:space="0"/>
              <w:right w:val="single" w:color="auto" w:sz="4" w:space="0"/>
            </w:tcBorders>
            <w:vAlign w:val="center"/>
          </w:tcPr>
          <w:p w14:paraId="1642F521">
            <w:pPr>
              <w:widowControl/>
              <w:spacing w:line="260" w:lineRule="exact"/>
              <w:jc w:val="center"/>
              <w:rPr>
                <w:rFonts w:ascii="Times New Roman" w:hAnsi="Times New Roman"/>
                <w:color w:val="000000"/>
                <w:kern w:val="0"/>
                <w:sz w:val="22"/>
                <w:szCs w:val="22"/>
              </w:rPr>
            </w:pPr>
          </w:p>
        </w:tc>
        <w:tc>
          <w:tcPr>
            <w:tcW w:w="1400" w:type="dxa"/>
            <w:tcBorders>
              <w:top w:val="single" w:color="auto" w:sz="4" w:space="0"/>
              <w:left w:val="single" w:color="auto" w:sz="4" w:space="0"/>
              <w:bottom w:val="single" w:color="auto" w:sz="4" w:space="0"/>
              <w:right w:val="single" w:color="auto" w:sz="4" w:space="0"/>
            </w:tcBorders>
            <w:vAlign w:val="center"/>
          </w:tcPr>
          <w:p w14:paraId="1E556D34">
            <w:pPr>
              <w:widowControl/>
              <w:spacing w:line="260" w:lineRule="exact"/>
              <w:jc w:val="center"/>
              <w:rPr>
                <w:rFonts w:ascii="Times New Roman" w:hAnsi="Times New Roman"/>
                <w:color w:val="000000"/>
                <w:kern w:val="0"/>
                <w:sz w:val="22"/>
                <w:szCs w:val="22"/>
              </w:rPr>
            </w:pPr>
          </w:p>
        </w:tc>
      </w:tr>
    </w:tbl>
    <w:p w14:paraId="6C84D2CD">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以上报价</w:t>
      </w:r>
      <w:r>
        <w:rPr>
          <w:rFonts w:asciiTheme="minorEastAsia" w:hAnsiTheme="minorEastAsia" w:eastAsiaTheme="minorEastAsia"/>
          <w:sz w:val="24"/>
          <w:szCs w:val="24"/>
        </w:rPr>
        <w:t>为</w:t>
      </w:r>
      <w:r>
        <w:rPr>
          <w:rFonts w:hint="eastAsia" w:asciiTheme="minorEastAsia" w:hAnsiTheme="minorEastAsia" w:eastAsiaTheme="minorEastAsia"/>
          <w:sz w:val="24"/>
          <w:szCs w:val="24"/>
        </w:rPr>
        <w:t>乙方</w:t>
      </w:r>
      <w:r>
        <w:rPr>
          <w:rFonts w:asciiTheme="minorEastAsia" w:hAnsiTheme="minorEastAsia" w:eastAsiaTheme="minorEastAsia"/>
          <w:sz w:val="24"/>
          <w:szCs w:val="24"/>
        </w:rPr>
        <w:t>送货到</w:t>
      </w:r>
      <w:r>
        <w:rPr>
          <w:rFonts w:hint="eastAsia" w:asciiTheme="minorEastAsia" w:hAnsiTheme="minorEastAsia" w:eastAsiaTheme="minorEastAsia"/>
          <w:sz w:val="24"/>
          <w:szCs w:val="24"/>
        </w:rPr>
        <w:t>甲方</w:t>
      </w:r>
      <w:r>
        <w:rPr>
          <w:rFonts w:asciiTheme="minorEastAsia" w:hAnsiTheme="minorEastAsia" w:eastAsiaTheme="minorEastAsia"/>
          <w:sz w:val="24"/>
          <w:szCs w:val="24"/>
        </w:rPr>
        <w:t>工地指定地点的价格，报价中均包含</w:t>
      </w:r>
      <w:r>
        <w:rPr>
          <w:rFonts w:hint="eastAsia" w:asciiTheme="minorEastAsia" w:hAnsiTheme="minorEastAsia" w:eastAsiaTheme="minorEastAsia"/>
          <w:sz w:val="24"/>
          <w:szCs w:val="24"/>
        </w:rPr>
        <w:t>（但不限于）</w:t>
      </w:r>
      <w:r>
        <w:rPr>
          <w:rFonts w:ascii="Times New Roman" w:hAnsi="Times New Roman"/>
          <w:sz w:val="24"/>
          <w:szCs w:val="24"/>
        </w:rPr>
        <w:t>货款、运输、</w:t>
      </w:r>
      <w:r>
        <w:rPr>
          <w:rFonts w:hint="eastAsia" w:ascii="Times New Roman" w:hAnsi="Times New Roman"/>
          <w:sz w:val="24"/>
          <w:szCs w:val="24"/>
        </w:rPr>
        <w:t>安装、特种设备报检、</w:t>
      </w:r>
      <w:r>
        <w:rPr>
          <w:rFonts w:ascii="Times New Roman" w:hAnsi="Times New Roman"/>
          <w:sz w:val="24"/>
          <w:szCs w:val="24"/>
        </w:rPr>
        <w:t>利润、税费等一切费用</w:t>
      </w:r>
      <w:r>
        <w:rPr>
          <w:rFonts w:asciiTheme="minorEastAsia" w:hAnsiTheme="minorEastAsia" w:eastAsiaTheme="minorEastAsia"/>
          <w:sz w:val="24"/>
          <w:szCs w:val="24"/>
        </w:rPr>
        <w:t>，并包含货物装车</w:t>
      </w:r>
      <w:r>
        <w:rPr>
          <w:rFonts w:hint="eastAsia" w:asciiTheme="minorEastAsia" w:hAnsiTheme="minorEastAsia" w:eastAsiaTheme="minorEastAsia"/>
          <w:sz w:val="24"/>
          <w:szCs w:val="24"/>
        </w:rPr>
        <w:t>、</w:t>
      </w:r>
      <w:r>
        <w:rPr>
          <w:rFonts w:asciiTheme="minorEastAsia" w:hAnsiTheme="minorEastAsia" w:eastAsiaTheme="minorEastAsia"/>
          <w:sz w:val="24"/>
          <w:szCs w:val="24"/>
        </w:rPr>
        <w:t>运输及全过程中的安全、保险、措施等费用以及如发生安全事故导致的损失和赔偿费用，提供</w:t>
      </w:r>
      <w:r>
        <w:rPr>
          <w:rFonts w:hint="eastAsia" w:asciiTheme="minorEastAsia" w:hAnsiTheme="minorEastAsia" w:eastAsiaTheme="minorEastAsia"/>
          <w:sz w:val="24"/>
          <w:szCs w:val="24"/>
        </w:rPr>
        <w:t>13%的</w:t>
      </w:r>
      <w:r>
        <w:rPr>
          <w:rFonts w:asciiTheme="minorEastAsia" w:hAnsiTheme="minorEastAsia" w:eastAsiaTheme="minorEastAsia"/>
          <w:sz w:val="24"/>
          <w:szCs w:val="24"/>
        </w:rPr>
        <w:t>增值税专用发票</w:t>
      </w:r>
      <w:r>
        <w:rPr>
          <w:rFonts w:hint="eastAsia" w:asciiTheme="minorEastAsia" w:hAnsiTheme="minorEastAsia" w:eastAsiaTheme="minorEastAsia"/>
          <w:sz w:val="24"/>
          <w:szCs w:val="24"/>
        </w:rPr>
        <w:t>（税金已包含在乙方报价中）</w:t>
      </w:r>
      <w:r>
        <w:rPr>
          <w:rFonts w:asciiTheme="minorEastAsia" w:hAnsiTheme="minorEastAsia" w:eastAsiaTheme="minorEastAsia"/>
          <w:sz w:val="24"/>
          <w:szCs w:val="24"/>
        </w:rPr>
        <w:t>，</w:t>
      </w:r>
      <w:r>
        <w:rPr>
          <w:rFonts w:hint="eastAsia" w:asciiTheme="minorEastAsia" w:hAnsiTheme="minorEastAsia" w:eastAsiaTheme="minorEastAsia"/>
          <w:sz w:val="24"/>
          <w:szCs w:val="24"/>
        </w:rPr>
        <w:t>乙方</w:t>
      </w:r>
      <w:r>
        <w:rPr>
          <w:rFonts w:asciiTheme="minorEastAsia" w:hAnsiTheme="minorEastAsia" w:eastAsiaTheme="minorEastAsia"/>
          <w:sz w:val="24"/>
          <w:szCs w:val="24"/>
        </w:rPr>
        <w:t>不得以任何理由额外索取</w:t>
      </w:r>
      <w:r>
        <w:rPr>
          <w:rFonts w:hint="eastAsia" w:asciiTheme="minorEastAsia" w:hAnsiTheme="minorEastAsia" w:eastAsiaTheme="minorEastAsia"/>
          <w:sz w:val="24"/>
          <w:szCs w:val="24"/>
        </w:rPr>
        <w:t>任何</w:t>
      </w:r>
      <w:r>
        <w:rPr>
          <w:rFonts w:asciiTheme="minorEastAsia" w:hAnsiTheme="minorEastAsia" w:eastAsiaTheme="minorEastAsia"/>
          <w:sz w:val="24"/>
          <w:szCs w:val="24"/>
        </w:rPr>
        <w:t>费用。</w:t>
      </w:r>
      <w:r>
        <w:rPr>
          <w:rFonts w:asciiTheme="minorEastAsia" w:hAnsiTheme="minorEastAsia" w:eastAsiaTheme="minorEastAsia"/>
          <w:bCs/>
          <w:sz w:val="24"/>
          <w:szCs w:val="24"/>
        </w:rPr>
        <w:t>单价为固定</w:t>
      </w:r>
      <w:r>
        <w:rPr>
          <w:rFonts w:hint="eastAsia" w:asciiTheme="minorEastAsia" w:hAnsiTheme="minorEastAsia" w:eastAsiaTheme="minorEastAsia"/>
          <w:bCs/>
          <w:sz w:val="24"/>
          <w:szCs w:val="24"/>
        </w:rPr>
        <w:t>综合</w:t>
      </w:r>
      <w:r>
        <w:rPr>
          <w:rFonts w:asciiTheme="minorEastAsia" w:hAnsiTheme="minorEastAsia" w:eastAsiaTheme="minorEastAsia"/>
          <w:bCs/>
          <w:sz w:val="24"/>
          <w:szCs w:val="24"/>
        </w:rPr>
        <w:t>单价，供应期及供应量内单价不随市场价格变动而调整。</w:t>
      </w:r>
    </w:p>
    <w:p w14:paraId="4ED25FEF">
      <w:pPr>
        <w:spacing w:line="312" w:lineRule="auto"/>
        <w:ind w:left="4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本次招标的桥式起重机材料数量为供货期内施工图纸中采购数量，实际供货数量有可能会有少许调整，以乙方根据项目实际需求通知的数量为准，最终结算数量以甲方在工地收货现场收到的桥式起重机数量为准。</w:t>
      </w:r>
    </w:p>
    <w:p w14:paraId="24E36CF9">
      <w:pPr>
        <w:spacing w:line="312" w:lineRule="auto"/>
        <w:ind w:left="4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4、甲方开票信息和乙方收款信息如下：</w:t>
      </w:r>
    </w:p>
    <w:tbl>
      <w:tblPr>
        <w:tblStyle w:val="16"/>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4"/>
        <w:gridCol w:w="4805"/>
      </w:tblGrid>
      <w:tr w14:paraId="2DF4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vAlign w:val="center"/>
          </w:tcPr>
          <w:p w14:paraId="4ED0CD43">
            <w:pPr>
              <w:spacing w:line="360" w:lineRule="auto"/>
              <w:ind w:firstLine="2280" w:firstLineChars="950"/>
              <w:rPr>
                <w:rFonts w:asciiTheme="minorEastAsia" w:hAnsiTheme="minorEastAsia" w:eastAsiaTheme="minorEastAsia"/>
                <w:sz w:val="24"/>
                <w:szCs w:val="24"/>
              </w:rPr>
            </w:pPr>
            <w:r>
              <w:rPr>
                <w:rFonts w:asciiTheme="minorEastAsia" w:hAnsiTheme="minorEastAsia" w:eastAsiaTheme="minorEastAsia"/>
                <w:sz w:val="24"/>
                <w:szCs w:val="24"/>
              </w:rPr>
              <w:t>甲方开票信息</w:t>
            </w:r>
          </w:p>
        </w:tc>
        <w:tc>
          <w:tcPr>
            <w:tcW w:w="4805" w:type="dxa"/>
            <w:vAlign w:val="center"/>
          </w:tcPr>
          <w:p w14:paraId="4F12D3B7">
            <w:pPr>
              <w:spacing w:line="360" w:lineRule="auto"/>
              <w:ind w:firstLine="2280" w:firstLineChars="950"/>
              <w:rPr>
                <w:rFonts w:asciiTheme="minorEastAsia" w:hAnsiTheme="minorEastAsia" w:eastAsiaTheme="minorEastAsia"/>
                <w:sz w:val="24"/>
                <w:szCs w:val="24"/>
              </w:rPr>
            </w:pPr>
            <w:r>
              <w:rPr>
                <w:rFonts w:asciiTheme="minorEastAsia" w:hAnsiTheme="minorEastAsia" w:eastAsiaTheme="minorEastAsia"/>
                <w:sz w:val="24"/>
                <w:szCs w:val="24"/>
              </w:rPr>
              <w:t>乙方收款信息</w:t>
            </w:r>
          </w:p>
        </w:tc>
      </w:tr>
      <w:tr w14:paraId="723B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tcPr>
          <w:p w14:paraId="423E55A1">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甲方： 江苏省水利建设工程有限公司</w:t>
            </w:r>
          </w:p>
        </w:tc>
        <w:tc>
          <w:tcPr>
            <w:tcW w:w="4805" w:type="dxa"/>
            <w:vAlign w:val="center"/>
          </w:tcPr>
          <w:p w14:paraId="54765BA7">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乙方：</w:t>
            </w:r>
          </w:p>
        </w:tc>
      </w:tr>
      <w:tr w14:paraId="259F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tcPr>
          <w:p w14:paraId="1DA2D65B">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纳税人识别号：913200001347535697</w:t>
            </w:r>
          </w:p>
        </w:tc>
        <w:tc>
          <w:tcPr>
            <w:tcW w:w="4805" w:type="dxa"/>
            <w:vAlign w:val="center"/>
          </w:tcPr>
          <w:p w14:paraId="39724D8A">
            <w:pPr>
              <w:spacing w:line="44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纳税人识别号：</w:t>
            </w:r>
          </w:p>
        </w:tc>
      </w:tr>
      <w:tr w14:paraId="051F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tcPr>
          <w:p w14:paraId="00D35020">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地址：扬州市广陵产业园</w:t>
            </w:r>
          </w:p>
        </w:tc>
        <w:tc>
          <w:tcPr>
            <w:tcW w:w="4805" w:type="dxa"/>
            <w:vAlign w:val="center"/>
          </w:tcPr>
          <w:p w14:paraId="0D0C68B8">
            <w:pPr>
              <w:spacing w:line="44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地址： </w:t>
            </w:r>
          </w:p>
        </w:tc>
      </w:tr>
      <w:tr w14:paraId="50B4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tcPr>
          <w:p w14:paraId="00F84652">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电话：0514-87361764</w:t>
            </w:r>
          </w:p>
        </w:tc>
        <w:tc>
          <w:tcPr>
            <w:tcW w:w="4805" w:type="dxa"/>
            <w:vAlign w:val="center"/>
          </w:tcPr>
          <w:p w14:paraId="06C76F15">
            <w:pPr>
              <w:spacing w:line="44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电话：</w:t>
            </w:r>
          </w:p>
        </w:tc>
      </w:tr>
      <w:tr w14:paraId="5A68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tcPr>
          <w:p w14:paraId="44F6E85B">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开户银行：建设银行扬州分行琼花支行</w:t>
            </w:r>
          </w:p>
        </w:tc>
        <w:tc>
          <w:tcPr>
            <w:tcW w:w="4805" w:type="dxa"/>
            <w:vAlign w:val="center"/>
          </w:tcPr>
          <w:p w14:paraId="42ACE2AC">
            <w:pPr>
              <w:spacing w:line="44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开户银行： </w:t>
            </w:r>
          </w:p>
        </w:tc>
      </w:tr>
      <w:tr w14:paraId="2F5E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tcPr>
          <w:p w14:paraId="30D8CFF2">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银行账号：32001745736050488688</w:t>
            </w:r>
          </w:p>
        </w:tc>
        <w:tc>
          <w:tcPr>
            <w:tcW w:w="4805" w:type="dxa"/>
            <w:vAlign w:val="center"/>
          </w:tcPr>
          <w:p w14:paraId="25A43FF4">
            <w:pPr>
              <w:spacing w:line="44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银行账号：</w:t>
            </w:r>
          </w:p>
        </w:tc>
      </w:tr>
    </w:tbl>
    <w:p w14:paraId="51CCBA13">
      <w:pPr>
        <w:keepNext w:val="0"/>
        <w:keepLines w:val="0"/>
        <w:pageBreakBefore w:val="0"/>
        <w:widowControl w:val="0"/>
        <w:kinsoku/>
        <w:wordWrap/>
        <w:overflowPunct/>
        <w:topLinePunct w:val="0"/>
        <w:autoSpaceDE/>
        <w:autoSpaceDN/>
        <w:bidi w:val="0"/>
        <w:adjustRightInd/>
        <w:snapToGrid/>
        <w:spacing w:line="360" w:lineRule="auto"/>
        <w:ind w:left="40" w:firstLine="482" w:firstLineChars="200"/>
        <w:textAlignment w:val="auto"/>
        <w:rPr>
          <w:rFonts w:asciiTheme="minorEastAsia" w:hAnsiTheme="minorEastAsia" w:eastAsiaTheme="minorEastAsia"/>
          <w:b/>
          <w:sz w:val="24"/>
          <w:szCs w:val="24"/>
        </w:rPr>
      </w:pPr>
      <w:r>
        <w:rPr>
          <w:rFonts w:asciiTheme="minorEastAsia" w:hAnsiTheme="minorEastAsia" w:eastAsiaTheme="minorEastAsia"/>
          <w:b/>
          <w:sz w:val="24"/>
          <w:szCs w:val="24"/>
        </w:rPr>
        <w:t>三、质量与技术要求：</w:t>
      </w:r>
    </w:p>
    <w:p w14:paraId="3792F251">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1、桥式起重机各项技术参数必须符合国家</w:t>
      </w:r>
      <w:r>
        <w:rPr>
          <w:rFonts w:asciiTheme="minorEastAsia" w:hAnsiTheme="minorEastAsia" w:eastAsiaTheme="minorEastAsia"/>
          <w:sz w:val="24"/>
          <w:szCs w:val="24"/>
        </w:rPr>
        <w:t>相关规范</w:t>
      </w:r>
      <w:r>
        <w:rPr>
          <w:rFonts w:hint="eastAsia" w:asciiTheme="minorEastAsia" w:hAnsiTheme="minorEastAsia" w:eastAsiaTheme="minorEastAsia"/>
          <w:sz w:val="24"/>
          <w:szCs w:val="24"/>
        </w:rPr>
        <w:t>及标准</w:t>
      </w:r>
      <w:r>
        <w:rPr>
          <w:rFonts w:asciiTheme="minorEastAsia" w:hAnsiTheme="minorEastAsia" w:eastAsiaTheme="minorEastAsia"/>
          <w:sz w:val="24"/>
          <w:szCs w:val="24"/>
        </w:rPr>
        <w:t>要求</w:t>
      </w:r>
      <w:r>
        <w:rPr>
          <w:rFonts w:hint="eastAsia" w:asciiTheme="minorEastAsia" w:hAnsiTheme="minorEastAsia" w:eastAsiaTheme="minorEastAsia"/>
          <w:sz w:val="24"/>
          <w:szCs w:val="24"/>
        </w:rPr>
        <w:t>及施工现场图纸要求，</w:t>
      </w:r>
      <w:r>
        <w:rPr>
          <w:rFonts w:asciiTheme="minorEastAsia" w:hAnsiTheme="minorEastAsia" w:eastAsiaTheme="minorEastAsia"/>
          <w:sz w:val="24"/>
          <w:szCs w:val="24"/>
        </w:rPr>
        <w:t>合同签订后有最新标准的，自动执行最新标准。</w:t>
      </w:r>
    </w:p>
    <w:p w14:paraId="78C7E6DF">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2、供应过程中严格保证桥式起重机质量，如若供应过程中甲方查出供应商以次充好，甲方将没收其履约保证金，同时乙方需甲方支付违约金</w:t>
      </w:r>
      <w:r>
        <w:rPr>
          <w:rFonts w:asciiTheme="minorEastAsia" w:hAnsiTheme="minorEastAsia" w:eastAsiaTheme="minorEastAsia"/>
          <w:sz w:val="24"/>
          <w:szCs w:val="24"/>
        </w:rPr>
        <w:t>5万元。</w:t>
      </w:r>
      <w:r>
        <w:rPr>
          <w:rFonts w:hint="eastAsia" w:asciiTheme="minorEastAsia" w:hAnsiTheme="minorEastAsia" w:eastAsiaTheme="minorEastAsia"/>
          <w:sz w:val="24"/>
          <w:szCs w:val="24"/>
        </w:rPr>
        <w:t>造成甲方相关损失的（</w:t>
      </w:r>
      <w:r>
        <w:rPr>
          <w:rFonts w:hint="eastAsia" w:asciiTheme="minorEastAsia" w:hAnsiTheme="minorEastAsia" w:eastAsiaTheme="minorEastAsia"/>
          <w:bCs/>
          <w:sz w:val="24"/>
          <w:szCs w:val="24"/>
        </w:rPr>
        <w:t>包括但不限于工程产品报废、返工返修、工期延误、鉴定费、律师费、诉讼费、差旅费等费用和损失</w:t>
      </w:r>
      <w:r>
        <w:rPr>
          <w:rFonts w:hint="eastAsia" w:asciiTheme="minorEastAsia" w:hAnsiTheme="minorEastAsia" w:eastAsiaTheme="minorEastAsia"/>
          <w:sz w:val="24"/>
          <w:szCs w:val="24"/>
        </w:rPr>
        <w:t>），负责赔偿相关损失，并承担相关责任。</w:t>
      </w:r>
    </w:p>
    <w:p w14:paraId="2278BCB5">
      <w:pPr>
        <w:keepNext w:val="0"/>
        <w:keepLines w:val="0"/>
        <w:pageBreakBefore w:val="0"/>
        <w:widowControl w:val="0"/>
        <w:kinsoku/>
        <w:wordWrap/>
        <w:overflowPunct/>
        <w:topLinePunct w:val="0"/>
        <w:autoSpaceDE/>
        <w:autoSpaceDN/>
        <w:bidi w:val="0"/>
        <w:adjustRightInd/>
        <w:snapToGrid/>
        <w:spacing w:line="360" w:lineRule="auto"/>
        <w:ind w:left="40" w:firstLine="361" w:firstLineChars="150"/>
        <w:textAlignment w:val="auto"/>
        <w:rPr>
          <w:rFonts w:asciiTheme="minorEastAsia" w:hAnsiTheme="minorEastAsia" w:eastAsiaTheme="minorEastAsia"/>
          <w:b/>
          <w:sz w:val="24"/>
          <w:szCs w:val="24"/>
        </w:rPr>
      </w:pPr>
      <w:r>
        <w:rPr>
          <w:rFonts w:asciiTheme="minorEastAsia" w:hAnsiTheme="minorEastAsia" w:eastAsiaTheme="minorEastAsia"/>
          <w:b/>
          <w:sz w:val="24"/>
          <w:szCs w:val="24"/>
        </w:rPr>
        <w:t>四、包装标准、包装物的提供与回收、运输：</w:t>
      </w:r>
    </w:p>
    <w:p w14:paraId="3B009CB2">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sz w:val="24"/>
          <w:szCs w:val="24"/>
        </w:rPr>
      </w:pPr>
      <w:r>
        <w:rPr>
          <w:rFonts w:asciiTheme="minorEastAsia" w:hAnsiTheme="minorEastAsia" w:eastAsiaTheme="minorEastAsia"/>
          <w:sz w:val="24"/>
          <w:szCs w:val="24"/>
        </w:rPr>
        <w:t>1、包装标准：</w:t>
      </w:r>
      <w:r>
        <w:rPr>
          <w:rFonts w:hint="eastAsia" w:asciiTheme="minorEastAsia" w:hAnsiTheme="minorEastAsia" w:eastAsiaTheme="minorEastAsia"/>
          <w:sz w:val="24"/>
          <w:szCs w:val="24"/>
        </w:rPr>
        <w:t>散装</w:t>
      </w:r>
      <w:r>
        <w:rPr>
          <w:rFonts w:asciiTheme="minorEastAsia" w:hAnsiTheme="minorEastAsia" w:eastAsiaTheme="minorEastAsia"/>
          <w:sz w:val="24"/>
          <w:szCs w:val="24"/>
        </w:rPr>
        <w:t>。</w:t>
      </w:r>
    </w:p>
    <w:p w14:paraId="5F7F0DF3">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sz w:val="24"/>
          <w:szCs w:val="24"/>
        </w:rPr>
      </w:pPr>
      <w:r>
        <w:rPr>
          <w:rFonts w:asciiTheme="minorEastAsia" w:hAnsiTheme="minorEastAsia" w:eastAsiaTheme="minorEastAsia"/>
          <w:sz w:val="24"/>
          <w:szCs w:val="24"/>
        </w:rPr>
        <w:t>2、包装物的提供与回收：[无]。</w:t>
      </w:r>
    </w:p>
    <w:p w14:paraId="08C184C6">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sz w:val="24"/>
          <w:szCs w:val="24"/>
        </w:rPr>
      </w:pPr>
      <w:r>
        <w:rPr>
          <w:rFonts w:asciiTheme="minorEastAsia" w:hAnsiTheme="minorEastAsia" w:eastAsiaTheme="minorEastAsia"/>
          <w:sz w:val="24"/>
          <w:szCs w:val="24"/>
        </w:rPr>
        <w:t>3、运输方式：乙方自行组织运输。</w:t>
      </w:r>
    </w:p>
    <w:p w14:paraId="51FB2105">
      <w:pPr>
        <w:keepNext w:val="0"/>
        <w:keepLines w:val="0"/>
        <w:pageBreakBefore w:val="0"/>
        <w:widowControl w:val="0"/>
        <w:kinsoku/>
        <w:wordWrap/>
        <w:overflowPunct/>
        <w:topLinePunct w:val="0"/>
        <w:autoSpaceDE/>
        <w:autoSpaceDN/>
        <w:bidi w:val="0"/>
        <w:adjustRightInd/>
        <w:snapToGrid/>
        <w:spacing w:line="360" w:lineRule="auto"/>
        <w:ind w:left="40" w:firstLine="482" w:firstLineChars="200"/>
        <w:textAlignment w:val="auto"/>
        <w:rPr>
          <w:rFonts w:asciiTheme="minorEastAsia" w:hAnsiTheme="minorEastAsia" w:eastAsiaTheme="minorEastAsia"/>
          <w:sz w:val="24"/>
          <w:szCs w:val="24"/>
        </w:rPr>
      </w:pPr>
      <w:r>
        <w:rPr>
          <w:rFonts w:asciiTheme="minorEastAsia" w:hAnsiTheme="minorEastAsia" w:eastAsiaTheme="minorEastAsia"/>
          <w:b/>
          <w:sz w:val="24"/>
          <w:szCs w:val="24"/>
        </w:rPr>
        <w:t>五、合理损耗标准及计算方法：</w:t>
      </w:r>
      <w:r>
        <w:rPr>
          <w:rFonts w:hint="eastAsia" w:asciiTheme="minorEastAsia" w:hAnsiTheme="minorEastAsia" w:eastAsiaTheme="minorEastAsia"/>
          <w:sz w:val="24"/>
          <w:szCs w:val="24"/>
        </w:rPr>
        <w:t>桥式起重机</w:t>
      </w:r>
      <w:r>
        <w:rPr>
          <w:rFonts w:asciiTheme="minorEastAsia" w:hAnsiTheme="minorEastAsia" w:eastAsiaTheme="minorEastAsia"/>
          <w:sz w:val="24"/>
          <w:szCs w:val="24"/>
        </w:rPr>
        <w:t>无损耗。</w:t>
      </w:r>
    </w:p>
    <w:p w14:paraId="2347949E">
      <w:pPr>
        <w:keepNext w:val="0"/>
        <w:keepLines w:val="0"/>
        <w:pageBreakBefore w:val="0"/>
        <w:widowControl w:val="0"/>
        <w:kinsoku/>
        <w:wordWrap/>
        <w:overflowPunct/>
        <w:topLinePunct w:val="0"/>
        <w:autoSpaceDE/>
        <w:autoSpaceDN/>
        <w:bidi w:val="0"/>
        <w:adjustRightInd/>
        <w:snapToGrid/>
        <w:spacing w:line="360" w:lineRule="auto"/>
        <w:ind w:left="40" w:firstLine="482" w:firstLineChars="200"/>
        <w:textAlignment w:val="auto"/>
        <w:rPr>
          <w:rFonts w:asciiTheme="minorEastAsia" w:hAnsiTheme="minorEastAsia" w:eastAsiaTheme="minorEastAsia"/>
          <w:b/>
          <w:sz w:val="24"/>
          <w:szCs w:val="24"/>
        </w:rPr>
      </w:pPr>
      <w:r>
        <w:rPr>
          <w:rFonts w:asciiTheme="minorEastAsia" w:hAnsiTheme="minorEastAsia" w:eastAsiaTheme="minorEastAsia"/>
          <w:b/>
          <w:sz w:val="24"/>
          <w:szCs w:val="24"/>
        </w:rPr>
        <w:t>六、</w:t>
      </w:r>
      <w:r>
        <w:rPr>
          <w:rFonts w:hint="eastAsia" w:asciiTheme="minorEastAsia" w:hAnsiTheme="minorEastAsia" w:eastAsiaTheme="minorEastAsia"/>
          <w:b/>
          <w:sz w:val="24"/>
          <w:szCs w:val="24"/>
        </w:rPr>
        <w:t>桥式起重机</w:t>
      </w:r>
      <w:r>
        <w:rPr>
          <w:rFonts w:asciiTheme="minorEastAsia" w:hAnsiTheme="minorEastAsia" w:eastAsiaTheme="minorEastAsia"/>
          <w:b/>
          <w:sz w:val="24"/>
          <w:szCs w:val="24"/>
        </w:rPr>
        <w:t>交付</w:t>
      </w:r>
      <w:r>
        <w:rPr>
          <w:rFonts w:hint="eastAsia" w:asciiTheme="minorEastAsia" w:hAnsiTheme="minorEastAsia" w:eastAsiaTheme="minorEastAsia"/>
          <w:b/>
          <w:sz w:val="24"/>
          <w:szCs w:val="24"/>
        </w:rPr>
        <w:t>与验收</w:t>
      </w:r>
      <w:r>
        <w:rPr>
          <w:rFonts w:asciiTheme="minorEastAsia" w:hAnsiTheme="minorEastAsia" w:eastAsiaTheme="minorEastAsia"/>
          <w:b/>
          <w:sz w:val="24"/>
          <w:szCs w:val="24"/>
        </w:rPr>
        <w:t>：</w:t>
      </w:r>
    </w:p>
    <w:p w14:paraId="43EFD9A8">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sz w:val="24"/>
          <w:szCs w:val="24"/>
        </w:rPr>
      </w:pPr>
      <w:r>
        <w:rPr>
          <w:rFonts w:asciiTheme="minorEastAsia" w:hAnsiTheme="minorEastAsia" w:eastAsiaTheme="minorEastAsia"/>
          <w:sz w:val="24"/>
          <w:szCs w:val="24"/>
        </w:rPr>
        <w:t>1、甲</w:t>
      </w:r>
      <w:r>
        <w:rPr>
          <w:rFonts w:hint="eastAsia" w:asciiTheme="minorEastAsia" w:hAnsiTheme="minorEastAsia" w:eastAsiaTheme="minorEastAsia"/>
          <w:sz w:val="24"/>
          <w:szCs w:val="24"/>
        </w:rPr>
        <w:t>乙双方签订供货合同后，根据甲方现场施工情况，确认一次或分批次送货</w:t>
      </w:r>
      <w:r>
        <w:rPr>
          <w:rFonts w:asciiTheme="minorEastAsia" w:hAnsiTheme="minorEastAsia" w:eastAsiaTheme="minorEastAsia"/>
          <w:sz w:val="24"/>
          <w:szCs w:val="24"/>
        </w:rPr>
        <w:t>。</w:t>
      </w:r>
    </w:p>
    <w:p w14:paraId="2E963D05">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sz w:val="24"/>
          <w:szCs w:val="24"/>
        </w:rPr>
      </w:pPr>
      <w:r>
        <w:rPr>
          <w:rFonts w:asciiTheme="minorEastAsia" w:hAnsiTheme="minorEastAsia" w:eastAsiaTheme="minorEastAsia"/>
          <w:sz w:val="24"/>
          <w:szCs w:val="24"/>
        </w:rPr>
        <w:t>2、进场</w:t>
      </w:r>
      <w:r>
        <w:rPr>
          <w:rFonts w:hint="eastAsia" w:asciiTheme="minorEastAsia" w:hAnsiTheme="minorEastAsia" w:eastAsiaTheme="minorEastAsia"/>
          <w:sz w:val="24"/>
          <w:szCs w:val="24"/>
        </w:rPr>
        <w:t>桥式起重机需</w:t>
      </w:r>
      <w:r>
        <w:rPr>
          <w:rFonts w:asciiTheme="minorEastAsia" w:hAnsiTheme="minorEastAsia" w:eastAsiaTheme="minorEastAsia"/>
          <w:sz w:val="24"/>
          <w:szCs w:val="24"/>
        </w:rPr>
        <w:t>检验合格，如检验不合格乙方承担一切费用和责任。</w:t>
      </w:r>
    </w:p>
    <w:p w14:paraId="09AFA4EC">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sz w:val="24"/>
          <w:szCs w:val="24"/>
        </w:rPr>
      </w:pPr>
      <w:r>
        <w:rPr>
          <w:rFonts w:asciiTheme="minorEastAsia" w:hAnsiTheme="minorEastAsia" w:eastAsiaTheme="minorEastAsia"/>
          <w:sz w:val="24"/>
          <w:szCs w:val="24"/>
        </w:rPr>
        <w:t>3、乙方所供</w:t>
      </w:r>
      <w:r>
        <w:rPr>
          <w:rFonts w:hint="eastAsia" w:asciiTheme="minorEastAsia" w:hAnsiTheme="minorEastAsia" w:eastAsiaTheme="minorEastAsia"/>
          <w:sz w:val="24"/>
          <w:szCs w:val="24"/>
        </w:rPr>
        <w:t>桥式起重机</w:t>
      </w:r>
      <w:r>
        <w:rPr>
          <w:rFonts w:asciiTheme="minorEastAsia" w:hAnsiTheme="minorEastAsia" w:eastAsiaTheme="minorEastAsia"/>
          <w:sz w:val="24"/>
          <w:szCs w:val="24"/>
        </w:rPr>
        <w:t>不能满足甲方施工现场需求时，甲方有权要求退货。如因质量问题或供应商的其它原因，造成的退、换货时，市场</w:t>
      </w:r>
      <w:r>
        <w:rPr>
          <w:rFonts w:hint="eastAsia" w:asciiTheme="minorEastAsia" w:hAnsiTheme="minorEastAsia" w:eastAsiaTheme="minorEastAsia"/>
          <w:sz w:val="24"/>
          <w:szCs w:val="24"/>
        </w:rPr>
        <w:t>桥式起重机</w:t>
      </w:r>
      <w:r>
        <w:rPr>
          <w:rFonts w:asciiTheme="minorEastAsia" w:hAnsiTheme="minorEastAsia" w:eastAsiaTheme="minorEastAsia"/>
          <w:sz w:val="24"/>
          <w:szCs w:val="24"/>
        </w:rPr>
        <w:t>价格上调则按原进货价格不作调整；如换货当期市场价格下调则按进场当期市场价格进行结算。</w:t>
      </w:r>
    </w:p>
    <w:p w14:paraId="5DA3D53B">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sz w:val="24"/>
          <w:szCs w:val="24"/>
        </w:rPr>
      </w:pPr>
      <w:r>
        <w:rPr>
          <w:rFonts w:asciiTheme="minorEastAsia" w:hAnsiTheme="minorEastAsia" w:eastAsiaTheme="minorEastAsia"/>
          <w:sz w:val="24"/>
          <w:szCs w:val="24"/>
        </w:rPr>
        <w:t>4、甲方有权对合同中约定的材料数量进行调整。</w:t>
      </w:r>
    </w:p>
    <w:p w14:paraId="39464DC5">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sz w:val="24"/>
          <w:szCs w:val="24"/>
        </w:rPr>
      </w:pPr>
      <w:r>
        <w:rPr>
          <w:rFonts w:asciiTheme="minorEastAsia" w:hAnsiTheme="minorEastAsia" w:eastAsiaTheme="minorEastAsia"/>
          <w:sz w:val="24"/>
          <w:szCs w:val="24"/>
        </w:rPr>
        <w:t>5、乙方将</w:t>
      </w:r>
      <w:r>
        <w:rPr>
          <w:rFonts w:hint="eastAsia" w:asciiTheme="minorEastAsia" w:hAnsiTheme="minorEastAsia" w:eastAsiaTheme="minorEastAsia"/>
          <w:sz w:val="24"/>
          <w:szCs w:val="24"/>
        </w:rPr>
        <w:t>桥式起重机</w:t>
      </w:r>
      <w:r>
        <w:rPr>
          <w:rFonts w:asciiTheme="minorEastAsia" w:hAnsiTheme="minorEastAsia" w:eastAsiaTheme="minorEastAsia"/>
          <w:sz w:val="24"/>
          <w:szCs w:val="24"/>
        </w:rPr>
        <w:t>送到甲方工地指定地点时，应随车携带该批</w:t>
      </w:r>
      <w:r>
        <w:rPr>
          <w:rFonts w:hint="eastAsia" w:asciiTheme="minorEastAsia" w:hAnsiTheme="minorEastAsia" w:eastAsiaTheme="minorEastAsia"/>
          <w:sz w:val="24"/>
          <w:szCs w:val="24"/>
        </w:rPr>
        <w:t>桥式起重机</w:t>
      </w:r>
      <w:r>
        <w:rPr>
          <w:rFonts w:asciiTheme="minorEastAsia" w:hAnsiTheme="minorEastAsia" w:eastAsiaTheme="minorEastAsia"/>
          <w:sz w:val="24"/>
          <w:szCs w:val="24"/>
        </w:rPr>
        <w:t>相应的</w:t>
      </w:r>
      <w:r>
        <w:rPr>
          <w:rFonts w:hint="eastAsia" w:asciiTheme="minorEastAsia" w:hAnsiTheme="minorEastAsia" w:eastAsiaTheme="minorEastAsia"/>
          <w:sz w:val="24"/>
          <w:szCs w:val="24"/>
        </w:rPr>
        <w:t>出厂合格证明等材料</w:t>
      </w:r>
      <w:r>
        <w:rPr>
          <w:rFonts w:asciiTheme="minorEastAsia" w:hAnsiTheme="minorEastAsia" w:eastAsiaTheme="minorEastAsia"/>
          <w:sz w:val="24"/>
          <w:szCs w:val="24"/>
        </w:rPr>
        <w:t>交给甲方。甲方指派在工地现场签认，并核对送货签收单所载内容与实际</w:t>
      </w:r>
      <w:r>
        <w:rPr>
          <w:rFonts w:hint="eastAsia" w:asciiTheme="minorEastAsia" w:hAnsiTheme="minorEastAsia" w:eastAsiaTheme="minorEastAsia"/>
          <w:sz w:val="24"/>
          <w:szCs w:val="24"/>
        </w:rPr>
        <w:t>桥式起重机</w:t>
      </w:r>
      <w:r>
        <w:rPr>
          <w:rFonts w:asciiTheme="minorEastAsia" w:hAnsiTheme="minorEastAsia" w:eastAsiaTheme="minorEastAsia"/>
          <w:sz w:val="24"/>
          <w:szCs w:val="24"/>
        </w:rPr>
        <w:t>是否相符，如有异议需当场提出。甲方对质量有异议的可在收货后15个工作日内，以书面形式向乙方提出。</w:t>
      </w:r>
    </w:p>
    <w:p w14:paraId="572DABAC">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质量验收：甲方指派专人对所供桥式起重机的外观质量、规格型号及厚度进行验收，如出现外观质量及规格型号及厚度与招标清单不符，甲方有权拒收。如出现质量问题，由乙方负责退场，费用自理。因供货质量问题造成的一切损失由乙方承担。</w:t>
      </w:r>
    </w:p>
    <w:p w14:paraId="23DD245F">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、乙方交付的产品质量、规格型号不符合合同约定时甲方有权拒绝收货，由此导致</w:t>
      </w:r>
      <w:r>
        <w:rPr>
          <w:rFonts w:hint="eastAsia" w:asciiTheme="minorEastAsia" w:hAnsiTheme="minorEastAsia" w:eastAsiaTheme="minorEastAsia"/>
          <w:sz w:val="24"/>
          <w:szCs w:val="24"/>
        </w:rPr>
        <w:t>石灰</w:t>
      </w:r>
      <w:r>
        <w:rPr>
          <w:rFonts w:asciiTheme="minorEastAsia" w:hAnsiTheme="minorEastAsia" w:eastAsiaTheme="minorEastAsia"/>
          <w:sz w:val="24"/>
          <w:szCs w:val="24"/>
        </w:rPr>
        <w:t>交付延迟，乙方承担违约责任。</w:t>
      </w:r>
    </w:p>
    <w:p w14:paraId="33C8DEB1">
      <w:pPr>
        <w:keepNext w:val="0"/>
        <w:keepLines w:val="0"/>
        <w:pageBreakBefore w:val="0"/>
        <w:widowControl w:val="0"/>
        <w:kinsoku/>
        <w:wordWrap/>
        <w:overflowPunct/>
        <w:topLinePunct w:val="0"/>
        <w:autoSpaceDE/>
        <w:autoSpaceDN/>
        <w:bidi w:val="0"/>
        <w:adjustRightInd/>
        <w:snapToGrid/>
        <w:spacing w:line="360" w:lineRule="auto"/>
        <w:ind w:left="40" w:firstLine="482" w:firstLineChars="200"/>
        <w:textAlignment w:val="auto"/>
        <w:rPr>
          <w:rFonts w:asciiTheme="minorEastAsia" w:hAnsiTheme="minorEastAsia" w:eastAsiaTheme="minorEastAsia"/>
          <w:sz w:val="24"/>
          <w:szCs w:val="24"/>
        </w:rPr>
      </w:pPr>
      <w:r>
        <w:rPr>
          <w:rFonts w:asciiTheme="minorEastAsia" w:hAnsiTheme="minorEastAsia" w:eastAsiaTheme="minorEastAsia"/>
          <w:b/>
          <w:sz w:val="24"/>
          <w:szCs w:val="24"/>
        </w:rPr>
        <w:t>七、</w:t>
      </w:r>
      <w:r>
        <w:rPr>
          <w:rFonts w:hint="eastAsia" w:asciiTheme="minorEastAsia" w:hAnsiTheme="minorEastAsia" w:eastAsiaTheme="minorEastAsia"/>
          <w:sz w:val="24"/>
          <w:szCs w:val="24"/>
        </w:rPr>
        <w:t>桥式起重机</w:t>
      </w:r>
      <w:r>
        <w:rPr>
          <w:rFonts w:asciiTheme="minorEastAsia" w:hAnsiTheme="minorEastAsia" w:eastAsiaTheme="minorEastAsia"/>
          <w:sz w:val="24"/>
          <w:szCs w:val="24"/>
        </w:rPr>
        <w:t>所有权自交货时转移；材料毁损、灭失的风险自本合同约定检验期间届满之日起由甲方承担；经按约定检验，质量不符合本合同约定时，毁损、灭失风险仍然由乙方承担。</w:t>
      </w:r>
    </w:p>
    <w:p w14:paraId="3AEBFF27">
      <w:pPr>
        <w:keepNext w:val="0"/>
        <w:keepLines w:val="0"/>
        <w:pageBreakBefore w:val="0"/>
        <w:widowControl w:val="0"/>
        <w:kinsoku/>
        <w:wordWrap/>
        <w:overflowPunct/>
        <w:topLinePunct w:val="0"/>
        <w:autoSpaceDE/>
        <w:autoSpaceDN/>
        <w:bidi w:val="0"/>
        <w:adjustRightInd/>
        <w:snapToGrid/>
        <w:spacing w:line="360" w:lineRule="auto"/>
        <w:ind w:left="40"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八</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桥式起重机</w:t>
      </w:r>
      <w:r>
        <w:rPr>
          <w:rFonts w:asciiTheme="minorEastAsia" w:hAnsiTheme="minorEastAsia" w:eastAsiaTheme="minorEastAsia"/>
          <w:b/>
          <w:sz w:val="24"/>
          <w:szCs w:val="24"/>
        </w:rPr>
        <w:t>结算和付款方式：</w:t>
      </w:r>
    </w:p>
    <w:p w14:paraId="246AD33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40" w:firstLine="480" w:firstLineChars="200"/>
        <w:textAlignment w:val="auto"/>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w:t>
      </w:r>
      <w:r>
        <w:rPr>
          <w:rFonts w:ascii="Times New Roman" w:hAnsi="Times New Roman"/>
          <w:sz w:val="24"/>
          <w:szCs w:val="24"/>
        </w:rPr>
        <w:t>结算依据</w:t>
      </w:r>
    </w:p>
    <w:p w14:paraId="212F7A5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40" w:firstLine="480" w:firstLineChars="200"/>
        <w:textAlignment w:val="auto"/>
        <w:rPr>
          <w:rFonts w:ascii="Times New Roman" w:hAnsi="Times New Roman"/>
          <w:sz w:val="24"/>
          <w:szCs w:val="24"/>
        </w:rPr>
      </w:pPr>
      <w:r>
        <w:rPr>
          <w:rFonts w:ascii="Times New Roman" w:hAnsi="Times New Roman"/>
          <w:sz w:val="24"/>
          <w:szCs w:val="24"/>
        </w:rPr>
        <w:t>以招标人指派的人员在工地现场经签认的</w:t>
      </w:r>
      <w:r>
        <w:rPr>
          <w:rFonts w:hint="eastAsia" w:ascii="Times New Roman" w:hAnsi="Times New Roman"/>
          <w:sz w:val="24"/>
          <w:szCs w:val="24"/>
        </w:rPr>
        <w:t>桥式起重机</w:t>
      </w:r>
      <w:r>
        <w:rPr>
          <w:rFonts w:ascii="Times New Roman" w:hAnsi="Times New Roman"/>
          <w:sz w:val="24"/>
          <w:szCs w:val="24"/>
        </w:rPr>
        <w:t>送货签收单数量结合相应单价作为结算依据，非有效授权人签署的签收单一律无效。</w:t>
      </w:r>
    </w:p>
    <w:p w14:paraId="04A68FA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40" w:firstLine="480" w:firstLineChars="200"/>
        <w:textAlignment w:val="auto"/>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w:t>
      </w:r>
      <w:r>
        <w:rPr>
          <w:rFonts w:ascii="Times New Roman" w:hAnsi="Times New Roman"/>
          <w:sz w:val="24"/>
          <w:szCs w:val="24"/>
        </w:rPr>
        <w:t>结算方式</w:t>
      </w:r>
    </w:p>
    <w:p w14:paraId="3F77B0C8">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ascii="Times New Roman" w:hAnsi="Times New Roman"/>
          <w:sz w:val="24"/>
          <w:szCs w:val="24"/>
        </w:rPr>
      </w:pPr>
      <w:r>
        <w:rPr>
          <w:rFonts w:hint="eastAsia" w:ascii="Times New Roman" w:hAnsi="Times New Roman"/>
          <w:sz w:val="24"/>
          <w:szCs w:val="24"/>
        </w:rPr>
        <w:t>（1）起重机通过到工检验建设单位支付发包人相关费用后30天内，支付至起重机设备费的 45%。</w:t>
      </w:r>
    </w:p>
    <w:p w14:paraId="7D25F8A5">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ascii="Times New Roman" w:hAnsi="Times New Roman"/>
          <w:sz w:val="24"/>
          <w:szCs w:val="24"/>
        </w:rPr>
      </w:pPr>
      <w:r>
        <w:rPr>
          <w:rFonts w:hint="eastAsia" w:ascii="Times New Roman" w:hAnsi="Times New Roman"/>
          <w:sz w:val="24"/>
          <w:szCs w:val="24"/>
        </w:rPr>
        <w:t>（2）在获取桥式起重机验收检验报告后建设单位支付发包人相关费用后30天内，支付至起重机设备费的 80%。</w:t>
      </w:r>
    </w:p>
    <w:p w14:paraId="0D53743A">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ascii="Times New Roman" w:hAnsi="Times New Roman"/>
          <w:sz w:val="24"/>
          <w:szCs w:val="24"/>
        </w:rPr>
      </w:pPr>
      <w:r>
        <w:rPr>
          <w:rFonts w:hint="eastAsia" w:ascii="Times New Roman" w:hAnsi="Times New Roman"/>
          <w:sz w:val="24"/>
          <w:szCs w:val="24"/>
        </w:rPr>
        <w:t>（3）本节涉及的备品备件、工厂制造质量和验收等费用已包含在各设备报价中，不再另行支付。</w:t>
      </w:r>
    </w:p>
    <w:p w14:paraId="62E191B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szCs w:val="24"/>
        </w:rPr>
      </w:pPr>
      <w:r>
        <w:rPr>
          <w:rFonts w:hint="eastAsia" w:ascii="Times New Roman" w:hAnsi="Times New Roman"/>
          <w:sz w:val="24"/>
          <w:szCs w:val="24"/>
        </w:rPr>
        <w:t>中标人</w:t>
      </w:r>
      <w:r>
        <w:rPr>
          <w:rFonts w:ascii="Times New Roman" w:hAnsi="Times New Roman"/>
          <w:sz w:val="24"/>
          <w:szCs w:val="24"/>
        </w:rPr>
        <w:t>同时承诺：每个结算期内的所有</w:t>
      </w:r>
      <w:r>
        <w:rPr>
          <w:rFonts w:hint="eastAsia" w:ascii="Times New Roman" w:hAnsi="Times New Roman"/>
          <w:sz w:val="24"/>
          <w:szCs w:val="24"/>
        </w:rPr>
        <w:t>桥式起重机机</w:t>
      </w:r>
      <w:r>
        <w:rPr>
          <w:rFonts w:ascii="Times New Roman" w:hAnsi="Times New Roman"/>
          <w:sz w:val="24"/>
          <w:szCs w:val="24"/>
        </w:rPr>
        <w:t>数量均已结报完毕，无其他争议，所结报的</w:t>
      </w:r>
      <w:r>
        <w:rPr>
          <w:rFonts w:hint="eastAsia" w:ascii="Times New Roman" w:hAnsi="Times New Roman"/>
          <w:sz w:val="24"/>
          <w:szCs w:val="24"/>
        </w:rPr>
        <w:t>桥式起重机</w:t>
      </w:r>
      <w:r>
        <w:rPr>
          <w:rFonts w:ascii="Times New Roman" w:hAnsi="Times New Roman"/>
          <w:sz w:val="24"/>
          <w:szCs w:val="24"/>
        </w:rPr>
        <w:t>数量真实有效。</w:t>
      </w:r>
      <w:r>
        <w:rPr>
          <w:rFonts w:hint="eastAsia" w:ascii="Times New Roman" w:hAnsi="Times New Roman"/>
          <w:sz w:val="24"/>
          <w:szCs w:val="24"/>
        </w:rPr>
        <w:t>过程结算</w:t>
      </w:r>
      <w:r>
        <w:rPr>
          <w:rFonts w:ascii="Times New Roman" w:hAnsi="Times New Roman"/>
          <w:sz w:val="24"/>
          <w:szCs w:val="24"/>
        </w:rPr>
        <w:t>以及最终结算，结算单在双方会签后，报</w:t>
      </w:r>
      <w:r>
        <w:rPr>
          <w:rFonts w:hint="eastAsia" w:ascii="Times New Roman" w:hAnsi="Times New Roman"/>
          <w:sz w:val="24"/>
          <w:szCs w:val="24"/>
        </w:rPr>
        <w:t>招标人的</w:t>
      </w:r>
      <w:r>
        <w:rPr>
          <w:rFonts w:ascii="Times New Roman" w:hAnsi="Times New Roman"/>
          <w:sz w:val="24"/>
          <w:szCs w:val="24"/>
        </w:rPr>
        <w:t>分公司</w:t>
      </w:r>
      <w:r>
        <w:rPr>
          <w:rFonts w:hint="eastAsia" w:ascii="Times New Roman" w:hAnsi="Times New Roman"/>
          <w:sz w:val="24"/>
          <w:szCs w:val="24"/>
        </w:rPr>
        <w:t>指定人员</w:t>
      </w:r>
      <w:r>
        <w:rPr>
          <w:rFonts w:ascii="Times New Roman" w:hAnsi="Times New Roman"/>
          <w:sz w:val="24"/>
          <w:szCs w:val="24"/>
        </w:rPr>
        <w:t>审核并签字后生效；分公司人员在审核有疑义时，可要求双方重新核对，核对一致无争议后重新办理最终结算，该最终结算仍须经分公司审核人员签字确认后生效；如仍有分歧无法解决，双方均可报</w:t>
      </w:r>
      <w:r>
        <w:rPr>
          <w:rFonts w:hint="eastAsia" w:ascii="Times New Roman" w:hAnsi="Times New Roman"/>
          <w:sz w:val="24"/>
          <w:szCs w:val="24"/>
        </w:rPr>
        <w:t>招标人</w:t>
      </w:r>
      <w:r>
        <w:rPr>
          <w:rFonts w:ascii="Times New Roman" w:hAnsi="Times New Roman"/>
          <w:sz w:val="24"/>
          <w:szCs w:val="24"/>
        </w:rPr>
        <w:t>公司财务物资部协调处置，财务物资部须在15个工作日内解决，财务物资部联系电话：0514-87361764，联系人：朱丽。</w:t>
      </w:r>
    </w:p>
    <w:p w14:paraId="523043B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40" w:firstLine="480" w:firstLineChars="200"/>
        <w:textAlignment w:val="auto"/>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w:t>
      </w:r>
      <w:r>
        <w:rPr>
          <w:rFonts w:ascii="Times New Roman" w:hAnsi="Times New Roman"/>
          <w:sz w:val="24"/>
          <w:szCs w:val="24"/>
        </w:rPr>
        <w:t>付款方式</w:t>
      </w:r>
    </w:p>
    <w:p w14:paraId="4587583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sz w:val="24"/>
          <w:szCs w:val="24"/>
        </w:rPr>
      </w:pPr>
      <w:r>
        <w:rPr>
          <w:rFonts w:hint="eastAsia" w:ascii="Times New Roman" w:hAnsi="Times New Roman"/>
          <w:color w:val="000000" w:themeColor="text1"/>
          <w:sz w:val="24"/>
          <w:szCs w:val="24"/>
        </w:rPr>
        <w:t>本次采购签订合同后可支付中标人20%的预付款，但中标人必须提供相等金额的预付款担保</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b/>
          <w:bCs/>
          <w:color w:val="0000FF"/>
          <w:sz w:val="24"/>
          <w:szCs w:val="24"/>
        </w:rPr>
        <w:t>必须是甲方认可的银行保函，不接受保险保函</w:t>
      </w:r>
      <w:r>
        <w:rPr>
          <w:rFonts w:hint="eastAsia" w:asciiTheme="minorEastAsia" w:hAnsiTheme="minorEastAsia" w:eastAsiaTheme="minorEastAsia"/>
          <w:b/>
          <w:bCs/>
          <w:color w:val="0000FF"/>
          <w:sz w:val="24"/>
          <w:szCs w:val="24"/>
          <w:lang w:val="en-US" w:eastAsia="zh-CN"/>
        </w:rPr>
        <w:t>和</w:t>
      </w:r>
      <w:r>
        <w:rPr>
          <w:rFonts w:hint="eastAsia" w:asciiTheme="minorEastAsia" w:hAnsiTheme="minorEastAsia" w:eastAsiaTheme="minorEastAsia"/>
          <w:b/>
          <w:bCs/>
          <w:color w:val="0000FF"/>
          <w:sz w:val="24"/>
          <w:szCs w:val="24"/>
        </w:rPr>
        <w:t>其他形式的担保</w:t>
      </w:r>
      <w:r>
        <w:rPr>
          <w:rFonts w:hint="eastAsia" w:asciiTheme="minorEastAsia" w:hAnsiTheme="minorEastAsia" w:eastAsiaTheme="minorEastAsia"/>
          <w:color w:val="000000" w:themeColor="text1"/>
          <w:sz w:val="24"/>
          <w:szCs w:val="24"/>
        </w:rPr>
        <w:t>）</w:t>
      </w:r>
      <w:r>
        <w:rPr>
          <w:rFonts w:hint="eastAsia" w:ascii="Times New Roman" w:hAnsi="Times New Roman"/>
          <w:color w:val="000000" w:themeColor="text1"/>
          <w:sz w:val="24"/>
          <w:szCs w:val="24"/>
        </w:rPr>
        <w:t>，中标人无法提供担保可放弃预付款，起重机通过到工检验后支付至起重机设备费的 45%，</w:t>
      </w:r>
      <w:r>
        <w:rPr>
          <w:rFonts w:hint="eastAsia" w:ascii="Times New Roman" w:hAnsi="Times New Roman"/>
          <w:sz w:val="24"/>
          <w:szCs w:val="24"/>
        </w:rPr>
        <w:t>在获取桥式起重机验收检验报告后建设单位支付发包人相关费用后30天内，支付至起重机设备费的 80%，</w:t>
      </w:r>
      <w:r>
        <w:rPr>
          <w:rFonts w:hint="eastAsia" w:ascii="Times New Roman" w:hAnsi="Times New Roman"/>
          <w:color w:val="000000" w:themeColor="text1"/>
          <w:sz w:val="24"/>
          <w:szCs w:val="24"/>
        </w:rPr>
        <w:t>双方办理结算手续，供货方同时提供已结算货款等额的税率为13%的增值税专用发票、质量证明书等资料,；余款20%在最终结算办理之后两年内付清。支付款项前，供</w:t>
      </w:r>
      <w:r>
        <w:rPr>
          <w:rFonts w:hint="eastAsia" w:ascii="Times New Roman" w:hAnsi="Times New Roman"/>
          <w:sz w:val="24"/>
          <w:szCs w:val="24"/>
        </w:rPr>
        <w:t>货方须按付款额开具并加盖财务专用章的收款收据。</w:t>
      </w:r>
    </w:p>
    <w:p w14:paraId="33915DD7">
      <w:pPr>
        <w:keepNext w:val="0"/>
        <w:keepLines w:val="0"/>
        <w:pageBreakBefore w:val="0"/>
        <w:widowControl w:val="0"/>
        <w:kinsoku/>
        <w:wordWrap/>
        <w:overflowPunct/>
        <w:topLinePunct w:val="0"/>
        <w:autoSpaceDE/>
        <w:autoSpaceDN/>
        <w:bidi w:val="0"/>
        <w:adjustRightInd/>
        <w:snapToGrid/>
        <w:spacing w:line="360" w:lineRule="auto"/>
        <w:ind w:left="40"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九</w:t>
      </w:r>
      <w:r>
        <w:rPr>
          <w:rFonts w:asciiTheme="minorEastAsia" w:hAnsiTheme="minorEastAsia" w:eastAsiaTheme="minorEastAsia"/>
          <w:b/>
          <w:sz w:val="24"/>
          <w:szCs w:val="24"/>
        </w:rPr>
        <w:t>、其他约定事项：</w:t>
      </w:r>
    </w:p>
    <w:p w14:paraId="25568F2C">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sz w:val="24"/>
          <w:szCs w:val="24"/>
        </w:rPr>
      </w:pPr>
      <w:r>
        <w:rPr>
          <w:rFonts w:asciiTheme="minorEastAsia" w:hAnsiTheme="minorEastAsia" w:eastAsiaTheme="minorEastAsia"/>
          <w:sz w:val="24"/>
          <w:szCs w:val="24"/>
        </w:rPr>
        <w:t>1、乙方的人员和车辆到达施工现场后必须服从甲方现场管理要求，遵守现场的各项安全制度；由于乙方人员不服从甲方现场安全指挥，或不遵守甲方安全生产管理要求而造成的相关损失和责任由乙方承担。</w:t>
      </w:r>
    </w:p>
    <w:p w14:paraId="790EE837">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sz w:val="24"/>
          <w:szCs w:val="24"/>
        </w:rPr>
      </w:pPr>
      <w:r>
        <w:rPr>
          <w:rFonts w:asciiTheme="minorEastAsia" w:hAnsiTheme="minorEastAsia" w:eastAsiaTheme="minorEastAsia"/>
          <w:sz w:val="24"/>
          <w:szCs w:val="24"/>
        </w:rPr>
        <w:t>2、本合同在履约过程中，如有任何调增单价、降低质量标准、提前支付货款等</w:t>
      </w:r>
      <w:bookmarkStart w:id="9" w:name="_Hlk77770211"/>
      <w:r>
        <w:rPr>
          <w:rFonts w:asciiTheme="minorEastAsia" w:hAnsiTheme="minorEastAsia" w:eastAsiaTheme="minorEastAsia"/>
          <w:sz w:val="24"/>
          <w:szCs w:val="24"/>
        </w:rPr>
        <w:t>明显有损于甲方利益的合同条款变更事项</w:t>
      </w:r>
      <w:bookmarkEnd w:id="9"/>
      <w:r>
        <w:rPr>
          <w:rFonts w:asciiTheme="minorEastAsia" w:hAnsiTheme="minorEastAsia" w:eastAsiaTheme="minorEastAsia"/>
          <w:sz w:val="24"/>
          <w:szCs w:val="24"/>
        </w:rPr>
        <w:t>，经双方代表共同协商一致并书面报甲方公司财务物资部签字并盖章确认后，方可另行签订书面协议，对于未经甲方公司财务物资部签字并盖章确认的明显有损于甲方利益的所有补充、变更协议无效。</w:t>
      </w:r>
    </w:p>
    <w:p w14:paraId="0D6D06B0">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3、</w:t>
      </w:r>
      <w:r>
        <w:rPr>
          <w:rFonts w:hint="eastAsia" w:asciiTheme="minorEastAsia" w:hAnsiTheme="minorEastAsia" w:eastAsiaTheme="minorEastAsia"/>
          <w:color w:val="000000" w:themeColor="text1"/>
          <w:sz w:val="24"/>
          <w:szCs w:val="24"/>
          <w:lang w:val="en-US" w:eastAsia="zh-CN"/>
        </w:rPr>
        <w:t>在合同订立前，</w:t>
      </w:r>
      <w:r>
        <w:rPr>
          <w:rFonts w:hint="eastAsia" w:asciiTheme="minorEastAsia" w:hAnsiTheme="minorEastAsia" w:eastAsiaTheme="minorEastAsia"/>
          <w:color w:val="000000" w:themeColor="text1"/>
          <w:sz w:val="24"/>
          <w:szCs w:val="24"/>
        </w:rPr>
        <w:t>乙方向甲方单位账户汇入</w:t>
      </w:r>
      <w:r>
        <w:rPr>
          <w:rFonts w:hint="eastAsia" w:asciiTheme="minorEastAsia" w:hAnsiTheme="minorEastAsia" w:eastAsiaTheme="minorEastAsia"/>
          <w:b/>
          <w:bCs/>
          <w:color w:val="0000FF"/>
          <w:sz w:val="24"/>
          <w:szCs w:val="24"/>
          <w:u w:val="single"/>
          <w:lang w:val="en-US" w:eastAsia="zh-CN"/>
        </w:rPr>
        <w:t>捌万元</w:t>
      </w:r>
      <w:r>
        <w:rPr>
          <w:rFonts w:hint="eastAsia" w:asciiTheme="minorEastAsia" w:hAnsiTheme="minorEastAsia" w:eastAsiaTheme="minorEastAsia"/>
          <w:color w:val="000000" w:themeColor="text1"/>
          <w:sz w:val="24"/>
          <w:szCs w:val="24"/>
        </w:rPr>
        <w:t>履约保证金（</w:t>
      </w:r>
      <w:r>
        <w:rPr>
          <w:rFonts w:hint="eastAsia" w:asciiTheme="minorEastAsia" w:hAnsiTheme="minorEastAsia" w:eastAsiaTheme="minorEastAsia"/>
          <w:b/>
          <w:sz w:val="24"/>
          <w:szCs w:val="24"/>
        </w:rPr>
        <w:t>只</w:t>
      </w:r>
      <w:r>
        <w:rPr>
          <w:rFonts w:hint="eastAsia" w:asciiTheme="minorEastAsia" w:hAnsiTheme="minorEastAsia" w:eastAsiaTheme="minorEastAsia"/>
          <w:b/>
          <w:bCs/>
          <w:color w:val="000000" w:themeColor="text1"/>
          <w:sz w:val="24"/>
          <w:szCs w:val="24"/>
        </w:rPr>
        <w:t>接受银行汇款，不接受其他任何方式</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rPr>
        <w:t>在乙方供货全部结束且无瑕疵履行完本合同约定的所有义务后</w:t>
      </w:r>
      <w:r>
        <w:rPr>
          <w:rFonts w:hint="eastAsia" w:asciiTheme="minorEastAsia" w:hAnsiTheme="minorEastAsia" w:eastAsiaTheme="minorEastAsia"/>
          <w:color w:val="000000" w:themeColor="text1"/>
          <w:sz w:val="24"/>
          <w:szCs w:val="24"/>
          <w:u w:val="single"/>
        </w:rPr>
        <w:t xml:space="preserve"> 30 </w:t>
      </w:r>
      <w:r>
        <w:rPr>
          <w:rFonts w:hint="eastAsia" w:asciiTheme="minorEastAsia" w:hAnsiTheme="minorEastAsia" w:eastAsiaTheme="minorEastAsia"/>
          <w:color w:val="000000" w:themeColor="text1"/>
          <w:sz w:val="24"/>
          <w:szCs w:val="24"/>
        </w:rPr>
        <w:t>个工作日内无息退还。履约保证金汇入以下银行账户：</w:t>
      </w:r>
    </w:p>
    <w:p w14:paraId="12344A4A">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户名：</w:t>
      </w:r>
      <w:r>
        <w:rPr>
          <w:rFonts w:hint="eastAsia" w:asciiTheme="minorEastAsia" w:hAnsiTheme="minorEastAsia" w:eastAsiaTheme="minorEastAsia"/>
          <w:color w:val="000000" w:themeColor="text1"/>
          <w:sz w:val="24"/>
          <w:szCs w:val="24"/>
        </w:rPr>
        <w:t>江苏省水利建设工程有限公司机电设备安装分公司</w:t>
      </w:r>
    </w:p>
    <w:p w14:paraId="59C56E8B">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银行：</w:t>
      </w:r>
      <w:r>
        <w:rPr>
          <w:rFonts w:hint="eastAsia" w:asciiTheme="minorEastAsia" w:hAnsiTheme="minorEastAsia" w:eastAsiaTheme="minorEastAsia"/>
          <w:color w:val="000000" w:themeColor="text1"/>
          <w:sz w:val="24"/>
          <w:szCs w:val="24"/>
        </w:rPr>
        <w:t>中国建设银行股份有限公司扬州琼花支行</w:t>
      </w:r>
    </w:p>
    <w:p w14:paraId="4BD2C486">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账号：32050174573600001816</w:t>
      </w:r>
    </w:p>
    <w:p w14:paraId="176209EB">
      <w:pPr>
        <w:keepNext w:val="0"/>
        <w:keepLines w:val="0"/>
        <w:pageBreakBefore w:val="0"/>
        <w:widowControl w:val="0"/>
        <w:kinsoku/>
        <w:wordWrap/>
        <w:overflowPunct/>
        <w:topLinePunct w:val="0"/>
        <w:autoSpaceDE/>
        <w:autoSpaceDN/>
        <w:bidi w:val="0"/>
        <w:adjustRightInd/>
        <w:snapToGrid/>
        <w:spacing w:line="360" w:lineRule="auto"/>
        <w:ind w:left="40" w:firstLine="482" w:firstLineChars="200"/>
        <w:textAlignment w:val="auto"/>
        <w:rPr>
          <w:rFonts w:asciiTheme="minorEastAsia" w:hAnsiTheme="minorEastAsia" w:eastAsiaTheme="minorEastAsia"/>
          <w:b/>
          <w:color w:val="000000" w:themeColor="text1"/>
          <w:sz w:val="24"/>
          <w:szCs w:val="24"/>
        </w:rPr>
      </w:pPr>
      <w:r>
        <w:rPr>
          <w:rFonts w:asciiTheme="minorEastAsia" w:hAnsiTheme="minorEastAsia" w:eastAsiaTheme="minorEastAsia"/>
          <w:b/>
          <w:color w:val="000000" w:themeColor="text1"/>
          <w:sz w:val="24"/>
          <w:szCs w:val="24"/>
        </w:rPr>
        <w:t>十、违约责任：</w:t>
      </w:r>
    </w:p>
    <w:p w14:paraId="2A67F5D3">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sz w:val="24"/>
          <w:szCs w:val="24"/>
        </w:rPr>
      </w:pPr>
      <w:r>
        <w:rPr>
          <w:rFonts w:asciiTheme="minorEastAsia" w:hAnsiTheme="minorEastAsia" w:eastAsiaTheme="minorEastAsia"/>
          <w:sz w:val="24"/>
          <w:szCs w:val="24"/>
        </w:rPr>
        <w:t>甲乙双方应该严格履行各自的义务，否则，应视为违约，违约方应向守约方赔偿损失。</w:t>
      </w:r>
    </w:p>
    <w:p w14:paraId="51CDEA54">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sz w:val="24"/>
          <w:szCs w:val="24"/>
        </w:rPr>
      </w:pPr>
      <w:r>
        <w:rPr>
          <w:rFonts w:asciiTheme="minorEastAsia" w:hAnsiTheme="minorEastAsia" w:eastAsiaTheme="minorEastAsia"/>
          <w:sz w:val="24"/>
          <w:szCs w:val="24"/>
        </w:rPr>
        <w:t>如果乙方向甲方提供的</w:t>
      </w:r>
      <w:r>
        <w:rPr>
          <w:rFonts w:hint="eastAsia" w:asciiTheme="minorEastAsia" w:hAnsiTheme="minorEastAsia" w:eastAsiaTheme="minorEastAsia"/>
          <w:sz w:val="24"/>
          <w:szCs w:val="24"/>
        </w:rPr>
        <w:t>桥式起重机</w:t>
      </w:r>
      <w:r>
        <w:rPr>
          <w:rFonts w:asciiTheme="minorEastAsia" w:hAnsiTheme="minorEastAsia" w:eastAsiaTheme="minorEastAsia"/>
          <w:sz w:val="24"/>
          <w:szCs w:val="24"/>
        </w:rPr>
        <w:t>不符合本合同约定的指标，或者供货期超出甲方指定供货期3日的，</w:t>
      </w:r>
      <w:r>
        <w:rPr>
          <w:rFonts w:hint="eastAsia" w:asciiTheme="minorEastAsia" w:hAnsiTheme="minorEastAsia" w:eastAsiaTheme="minorEastAsia"/>
          <w:sz w:val="24"/>
          <w:szCs w:val="24"/>
        </w:rPr>
        <w:t>供货期间不履行供货责任时，</w:t>
      </w:r>
      <w:r>
        <w:rPr>
          <w:rFonts w:asciiTheme="minorEastAsia" w:hAnsiTheme="minorEastAsia" w:eastAsiaTheme="minorEastAsia"/>
          <w:sz w:val="24"/>
          <w:szCs w:val="24"/>
        </w:rPr>
        <w:t>甲方有权终止本合同的履行</w:t>
      </w:r>
      <w:r>
        <w:rPr>
          <w:rFonts w:hint="eastAsia" w:asciiTheme="minorEastAsia" w:hAnsiTheme="minorEastAsia" w:eastAsiaTheme="minorEastAsia"/>
          <w:sz w:val="24"/>
          <w:szCs w:val="24"/>
        </w:rPr>
        <w:t>，并全额没收乙方履约保证金，同时乙方需赔偿甲方应乙方供货不及时导致的甲方所有损失</w:t>
      </w:r>
      <w:r>
        <w:rPr>
          <w:rFonts w:asciiTheme="minorEastAsia" w:hAnsiTheme="minorEastAsia" w:eastAsiaTheme="minorEastAsia"/>
          <w:sz w:val="24"/>
          <w:szCs w:val="24"/>
        </w:rPr>
        <w:t>。</w:t>
      </w:r>
    </w:p>
    <w:p w14:paraId="517D5D86">
      <w:pPr>
        <w:keepNext w:val="0"/>
        <w:keepLines w:val="0"/>
        <w:pageBreakBefore w:val="0"/>
        <w:widowControl w:val="0"/>
        <w:kinsoku/>
        <w:wordWrap/>
        <w:overflowPunct/>
        <w:topLinePunct w:val="0"/>
        <w:autoSpaceDE/>
        <w:autoSpaceDN/>
        <w:bidi w:val="0"/>
        <w:adjustRightInd/>
        <w:snapToGrid/>
        <w:spacing w:line="360" w:lineRule="auto"/>
        <w:ind w:left="40" w:firstLine="482" w:firstLineChars="200"/>
        <w:textAlignment w:val="auto"/>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lang w:val="en-US" w:eastAsia="zh-CN"/>
        </w:rPr>
        <w:t>一</w:t>
      </w:r>
      <w:r>
        <w:rPr>
          <w:rFonts w:asciiTheme="minorEastAsia" w:hAnsiTheme="minorEastAsia" w:eastAsiaTheme="minorEastAsia"/>
          <w:b/>
          <w:sz w:val="24"/>
          <w:szCs w:val="24"/>
        </w:rPr>
        <w:t>、解决争议的方式：</w:t>
      </w:r>
    </w:p>
    <w:p w14:paraId="7D15E4CE">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本合同在履行过程中如产生争议，甲、乙双方应友好协商；协商不成的，可向扬州市邗江区人民法院提起诉讼。本合同关于争议解决方式的约定具有最高的效力，双方以后发生的补充合同、会议纪要、来往函件、发料单、结算单等涉及到争议解决方式的，均不得对抗此约定。</w:t>
      </w:r>
    </w:p>
    <w:p w14:paraId="0A9C26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2" w:firstLineChars="200"/>
        <w:textAlignment w:val="auto"/>
        <w:rPr>
          <w:b/>
          <w:bCs/>
          <w:sz w:val="24"/>
          <w:szCs w:val="24"/>
        </w:rPr>
      </w:pPr>
      <w:r>
        <w:rPr>
          <w:rFonts w:hint="eastAsia"/>
          <w:b/>
          <w:bCs/>
          <w:sz w:val="24"/>
          <w:szCs w:val="24"/>
        </w:rPr>
        <w:t>十</w:t>
      </w:r>
      <w:r>
        <w:rPr>
          <w:rFonts w:hint="eastAsia"/>
          <w:b/>
          <w:bCs/>
          <w:sz w:val="24"/>
          <w:szCs w:val="24"/>
          <w:lang w:val="en-US" w:eastAsia="zh-CN"/>
        </w:rPr>
        <w:t>二</w:t>
      </w:r>
      <w:r>
        <w:rPr>
          <w:rFonts w:hint="eastAsia"/>
          <w:b/>
          <w:bCs/>
          <w:sz w:val="24"/>
          <w:szCs w:val="24"/>
        </w:rPr>
        <w:t>、合同效力</w:t>
      </w:r>
    </w:p>
    <w:p w14:paraId="237F097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eastAsiaTheme="minorEastAsia"/>
          <w:color w:val="auto"/>
          <w:sz w:val="24"/>
          <w:szCs w:val="24"/>
        </w:rPr>
        <w:t>本合同未尽事宜，需经双方共同协商，并作出补充协议。补充协议与本合同具有同等法律效力。</w:t>
      </w:r>
    </w:p>
    <w:p w14:paraId="5B9B272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eastAsiaTheme="minorEastAsia"/>
          <w:color w:val="auto"/>
          <w:sz w:val="24"/>
          <w:szCs w:val="24"/>
        </w:rPr>
        <w:t>本合同正文为打印文本，如双方对此合同有任何修改及补充均应另行签订补充协议。合同正文中任何非打印的文字或者图形，除非经双方确认同意，不产生约束力。</w:t>
      </w:r>
    </w:p>
    <w:p w14:paraId="14986CA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3、本合同自双方签字盖章且在甲方收到履约保证金后生效。</w:t>
      </w:r>
      <w:r>
        <w:rPr>
          <w:rFonts w:hint="default" w:ascii="Times New Roman" w:hAnsi="Times New Roman" w:cs="Times New Roman"/>
          <w:color w:val="auto"/>
          <w:sz w:val="24"/>
          <w:szCs w:val="24"/>
          <w:lang w:val="en-US" w:eastAsia="zh-CN"/>
        </w:rPr>
        <w:t>本合同</w:t>
      </w:r>
      <w:r>
        <w:rPr>
          <w:rFonts w:hint="default" w:ascii="Times New Roman" w:hAnsi="Times New Roman" w:cs="Times New Roman"/>
          <w:color w:val="auto"/>
          <w:sz w:val="24"/>
          <w:szCs w:val="24"/>
        </w:rPr>
        <w:t>一式</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rPr>
        <w:t>份，甲方执</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rPr>
        <w:t>份，具有同等法律效力。签订时间：</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年</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月</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日。。</w:t>
      </w:r>
    </w:p>
    <w:p w14:paraId="7B6B3B02">
      <w:pPr>
        <w:keepNext w:val="0"/>
        <w:keepLines w:val="0"/>
        <w:pageBreakBefore w:val="0"/>
        <w:widowControl w:val="0"/>
        <w:kinsoku/>
        <w:wordWrap/>
        <w:overflowPunct/>
        <w:topLinePunct w:val="0"/>
        <w:autoSpaceDE/>
        <w:autoSpaceDN/>
        <w:bidi w:val="0"/>
        <w:adjustRightInd/>
        <w:snapToGrid/>
        <w:spacing w:line="360" w:lineRule="auto"/>
        <w:ind w:left="40" w:firstLine="482" w:firstLineChars="200"/>
        <w:textAlignment w:val="auto"/>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lang w:val="en-US" w:eastAsia="zh-CN"/>
        </w:rPr>
        <w:t>三</w:t>
      </w:r>
      <w:r>
        <w:rPr>
          <w:rFonts w:asciiTheme="minorEastAsia" w:hAnsiTheme="minorEastAsia" w:eastAsiaTheme="minorEastAsia"/>
          <w:b/>
          <w:sz w:val="24"/>
          <w:szCs w:val="24"/>
        </w:rPr>
        <w:t>、本合同附件</w:t>
      </w:r>
    </w:p>
    <w:p w14:paraId="052FA5DD">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sz w:val="24"/>
          <w:szCs w:val="24"/>
        </w:rPr>
      </w:pPr>
      <w:r>
        <w:rPr>
          <w:rFonts w:asciiTheme="minorEastAsia" w:hAnsiTheme="minorEastAsia" w:eastAsiaTheme="minorEastAsia"/>
          <w:sz w:val="24"/>
          <w:szCs w:val="24"/>
        </w:rPr>
        <w:t>（1）甲乙双方营业执照复印件；</w:t>
      </w:r>
    </w:p>
    <w:p w14:paraId="304AEA10">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sz w:val="24"/>
          <w:szCs w:val="24"/>
        </w:rPr>
      </w:pPr>
      <w:r>
        <w:rPr>
          <w:rFonts w:asciiTheme="minorEastAsia" w:hAnsiTheme="minorEastAsia" w:eastAsiaTheme="minorEastAsia"/>
          <w:sz w:val="24"/>
          <w:szCs w:val="24"/>
        </w:rPr>
        <w:t>（2）甲方与业主签订的主合同中</w:t>
      </w:r>
      <w:r>
        <w:rPr>
          <w:rFonts w:hint="eastAsia" w:asciiTheme="minorEastAsia" w:hAnsiTheme="minorEastAsia" w:eastAsiaTheme="minorEastAsia"/>
          <w:sz w:val="24"/>
          <w:szCs w:val="24"/>
        </w:rPr>
        <w:t>桥式起重机</w:t>
      </w:r>
      <w:r>
        <w:rPr>
          <w:rFonts w:asciiTheme="minorEastAsia" w:hAnsiTheme="minorEastAsia" w:eastAsiaTheme="minorEastAsia"/>
          <w:sz w:val="24"/>
          <w:szCs w:val="24"/>
        </w:rPr>
        <w:t>技术条款；</w:t>
      </w:r>
    </w:p>
    <w:p w14:paraId="6D09E64F">
      <w:pPr>
        <w:keepNext w:val="0"/>
        <w:keepLines w:val="0"/>
        <w:pageBreakBefore w:val="0"/>
        <w:widowControl w:val="0"/>
        <w:kinsoku/>
        <w:wordWrap/>
        <w:overflowPunct/>
        <w:topLinePunct w:val="0"/>
        <w:autoSpaceDE/>
        <w:autoSpaceDN/>
        <w:bidi w:val="0"/>
        <w:adjustRightInd/>
        <w:snapToGrid/>
        <w:spacing w:line="360" w:lineRule="auto"/>
        <w:ind w:left="40" w:firstLine="480" w:firstLineChars="200"/>
        <w:textAlignment w:val="auto"/>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桥式起重机采购的招标文件、乙方的投标文件。</w:t>
      </w:r>
    </w:p>
    <w:p w14:paraId="77AC6587">
      <w:pPr>
        <w:pStyle w:val="2"/>
        <w:keepNext w:val="0"/>
        <w:keepLines w:val="0"/>
        <w:pageBreakBefore w:val="0"/>
        <w:widowControl w:val="0"/>
        <w:kinsoku/>
        <w:wordWrap/>
        <w:overflowPunct/>
        <w:topLinePunct w:val="0"/>
        <w:autoSpaceDE/>
        <w:autoSpaceDN/>
        <w:bidi w:val="0"/>
        <w:adjustRightInd/>
        <w:snapToGrid/>
        <w:spacing w:before="156" w:line="360" w:lineRule="auto"/>
        <w:textAlignment w:val="auto"/>
        <w:rPr>
          <w:rFonts w:asciiTheme="minorEastAsia" w:hAnsiTheme="minorEastAsia" w:eastAsiaTheme="minorEastAsia"/>
          <w:sz w:val="24"/>
          <w:szCs w:val="24"/>
        </w:rPr>
      </w:pPr>
    </w:p>
    <w:p w14:paraId="7BD0E2E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sz w:val="24"/>
          <w:szCs w:val="24"/>
        </w:rPr>
      </w:pPr>
    </w:p>
    <w:p w14:paraId="2DFF7C50">
      <w:pPr>
        <w:keepNext w:val="0"/>
        <w:keepLines w:val="0"/>
        <w:pageBreakBefore w:val="0"/>
        <w:widowControl w:val="0"/>
        <w:tabs>
          <w:tab w:val="left" w:pos="5040"/>
        </w:tabs>
        <w:kinsoku/>
        <w:wordWrap/>
        <w:overflowPunct/>
        <w:topLinePunct w:val="0"/>
        <w:autoSpaceDE/>
        <w:autoSpaceDN/>
        <w:bidi w:val="0"/>
        <w:adjustRightInd/>
        <w:snapToGrid/>
        <w:spacing w:line="360" w:lineRule="auto"/>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甲方：</w:t>
      </w:r>
      <w:r>
        <w:rPr>
          <w:rFonts w:hint="eastAsia" w:asciiTheme="minorEastAsia" w:hAnsiTheme="minorEastAsia" w:eastAsiaTheme="minorEastAsia"/>
          <w:color w:val="000000"/>
          <w:sz w:val="24"/>
          <w:szCs w:val="24"/>
          <w:lang w:val="en-US" w:eastAsia="zh-CN"/>
        </w:rPr>
        <w:tab/>
      </w:r>
      <w:r>
        <w:rPr>
          <w:rFonts w:hint="eastAsia" w:asciiTheme="minorEastAsia" w:hAnsiTheme="minorEastAsia" w:eastAsiaTheme="minorEastAsia"/>
          <w:color w:val="000000"/>
          <w:sz w:val="24"/>
          <w:szCs w:val="24"/>
        </w:rPr>
        <w:t>乙方：</w:t>
      </w:r>
    </w:p>
    <w:p w14:paraId="7BFBF5C7">
      <w:pPr>
        <w:keepNext w:val="0"/>
        <w:keepLines w:val="0"/>
        <w:pageBreakBefore w:val="0"/>
        <w:widowControl w:val="0"/>
        <w:tabs>
          <w:tab w:val="left" w:pos="5040"/>
        </w:tabs>
        <w:kinsoku/>
        <w:wordWrap/>
        <w:overflowPunct/>
        <w:topLinePunct w:val="0"/>
        <w:autoSpaceDE/>
        <w:autoSpaceDN/>
        <w:bidi w:val="0"/>
        <w:adjustRightInd/>
        <w:snapToGrid/>
        <w:spacing w:line="360" w:lineRule="auto"/>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联系地址：</w:t>
      </w:r>
      <w:r>
        <w:rPr>
          <w:rFonts w:hint="eastAsia" w:asciiTheme="minorEastAsia" w:hAnsiTheme="minorEastAsia" w:eastAsiaTheme="minorEastAsia"/>
          <w:color w:val="000000"/>
          <w:sz w:val="24"/>
          <w:szCs w:val="24"/>
        </w:rPr>
        <w:tab/>
      </w:r>
      <w:r>
        <w:rPr>
          <w:rFonts w:hint="eastAsia" w:asciiTheme="minorEastAsia" w:hAnsiTheme="minorEastAsia" w:eastAsiaTheme="minorEastAsia"/>
          <w:color w:val="000000"/>
          <w:sz w:val="24"/>
          <w:szCs w:val="24"/>
        </w:rPr>
        <w:t>联系地址：</w:t>
      </w:r>
    </w:p>
    <w:p w14:paraId="7447DEDE">
      <w:pPr>
        <w:keepNext w:val="0"/>
        <w:keepLines w:val="0"/>
        <w:pageBreakBefore w:val="0"/>
        <w:widowControl w:val="0"/>
        <w:tabs>
          <w:tab w:val="left" w:pos="5040"/>
        </w:tabs>
        <w:kinsoku/>
        <w:wordWrap/>
        <w:overflowPunct/>
        <w:topLinePunct w:val="0"/>
        <w:autoSpaceDE/>
        <w:autoSpaceDN/>
        <w:bidi w:val="0"/>
        <w:adjustRightInd/>
        <w:snapToGrid/>
        <w:spacing w:line="360" w:lineRule="auto"/>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法定代表人：</w:t>
      </w:r>
      <w:r>
        <w:rPr>
          <w:rFonts w:hint="eastAsia" w:asciiTheme="minorEastAsia" w:hAnsiTheme="minorEastAsia" w:eastAsiaTheme="minorEastAsia"/>
          <w:color w:val="000000"/>
          <w:sz w:val="24"/>
          <w:szCs w:val="24"/>
        </w:rPr>
        <w:tab/>
      </w:r>
      <w:r>
        <w:rPr>
          <w:rFonts w:hint="eastAsia" w:asciiTheme="minorEastAsia" w:hAnsiTheme="minorEastAsia" w:eastAsiaTheme="minorEastAsia"/>
          <w:color w:val="000000"/>
          <w:sz w:val="24"/>
          <w:szCs w:val="24"/>
        </w:rPr>
        <w:t>法定代表人：</w:t>
      </w:r>
    </w:p>
    <w:p w14:paraId="646AA6D6">
      <w:pPr>
        <w:keepNext w:val="0"/>
        <w:keepLines w:val="0"/>
        <w:pageBreakBefore w:val="0"/>
        <w:widowControl w:val="0"/>
        <w:tabs>
          <w:tab w:val="left" w:pos="5040"/>
        </w:tabs>
        <w:kinsoku/>
        <w:wordWrap/>
        <w:overflowPunct/>
        <w:topLinePunct w:val="0"/>
        <w:autoSpaceDE/>
        <w:autoSpaceDN/>
        <w:bidi w:val="0"/>
        <w:adjustRightInd/>
        <w:snapToGrid/>
        <w:spacing w:line="360" w:lineRule="auto"/>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授权委托人：</w:t>
      </w:r>
      <w:r>
        <w:rPr>
          <w:rFonts w:hint="eastAsia" w:asciiTheme="minorEastAsia" w:hAnsiTheme="minorEastAsia" w:eastAsiaTheme="minorEastAsia"/>
          <w:color w:val="000000"/>
          <w:sz w:val="24"/>
          <w:szCs w:val="24"/>
        </w:rPr>
        <w:tab/>
      </w:r>
      <w:r>
        <w:rPr>
          <w:rFonts w:hint="eastAsia" w:asciiTheme="minorEastAsia" w:hAnsiTheme="minorEastAsia" w:eastAsiaTheme="minorEastAsia"/>
          <w:color w:val="000000"/>
          <w:sz w:val="24"/>
          <w:szCs w:val="24"/>
        </w:rPr>
        <w:t>授权委托人：</w:t>
      </w:r>
    </w:p>
    <w:p w14:paraId="071B9333">
      <w:pPr>
        <w:keepNext w:val="0"/>
        <w:keepLines w:val="0"/>
        <w:pageBreakBefore w:val="0"/>
        <w:widowControl w:val="0"/>
        <w:tabs>
          <w:tab w:val="left" w:pos="5040"/>
        </w:tabs>
        <w:kinsoku/>
        <w:wordWrap/>
        <w:overflowPunct/>
        <w:topLinePunct w:val="0"/>
        <w:autoSpaceDE/>
        <w:autoSpaceDN/>
        <w:bidi w:val="0"/>
        <w:adjustRightInd/>
        <w:snapToGrid/>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联系电话：</w:t>
      </w:r>
      <w:r>
        <w:rPr>
          <w:rFonts w:hint="eastAsia" w:asciiTheme="minorEastAsia" w:hAnsiTheme="minorEastAsia" w:eastAsiaTheme="minorEastAsia"/>
          <w:color w:val="000000"/>
          <w:sz w:val="24"/>
          <w:szCs w:val="24"/>
        </w:rPr>
        <w:tab/>
      </w:r>
      <w:r>
        <w:rPr>
          <w:rFonts w:hint="eastAsia" w:asciiTheme="minorEastAsia" w:hAnsiTheme="minorEastAsia" w:eastAsiaTheme="minorEastAsia"/>
          <w:color w:val="000000"/>
          <w:sz w:val="24"/>
          <w:szCs w:val="24"/>
        </w:rPr>
        <w:t>联系电话：</w:t>
      </w:r>
    </w:p>
    <w:sectPr>
      <w:headerReference r:id="rId3" w:type="default"/>
      <w:footerReference r:id="rId4" w:type="default"/>
      <w:pgSz w:w="11906" w:h="16838"/>
      <w:pgMar w:top="1417" w:right="1134" w:bottom="1474" w:left="1134" w:header="1020" w:footer="1134"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23FABB-2D34-4501-815B-FB59BF90DE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18030">
    <w:panose1 w:val="02000000000000000000"/>
    <w:charset w:val="86"/>
    <w:family w:val="auto"/>
    <w:pitch w:val="default"/>
    <w:sig w:usb0="00000001" w:usb1="08000000" w:usb2="00000000" w:usb3="00000000" w:csb0="00040000" w:csb1="00000000"/>
    <w:embedRegular r:id="rId2" w:fontKey="{4B14F1A7-B45F-4602-A67D-9A5727F7F2F2}"/>
  </w:font>
  <w:font w:name="仿宋_GB2312">
    <w:panose1 w:val="02010609030101010101"/>
    <w:charset w:val="86"/>
    <w:family w:val="modern"/>
    <w:pitch w:val="default"/>
    <w:sig w:usb0="00000001" w:usb1="080E0000" w:usb2="00000000" w:usb3="00000000" w:csb0="00040000" w:csb1="00000000"/>
    <w:embedRegular r:id="rId3" w:fontKey="{802B5848-1139-45AF-9980-607C6DBA96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9520C">
    <w:pPr>
      <w:spacing w:before="120"/>
      <w:ind w:left="40" w:firstLine="210" w:firstLine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3F9E">
    <w:pPr>
      <w:pStyle w:val="13"/>
      <w:jc w:val="both"/>
    </w:pPr>
    <w:bookmarkStart w:id="10" w:name="_Hlk148369381"/>
    <w:bookmarkStart w:id="11" w:name="_Hlk148369380"/>
    <w:r>
      <w:rPr>
        <w:rFonts w:hint="eastAsia"/>
      </w:rPr>
      <w:t>秦淮新河改扩建工程土建施工及设备安装                                              吊设设施采购招标文件</w:t>
    </w:r>
    <w:bookmarkEnd w:id="10"/>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5D7D5"/>
    <w:multiLevelType w:val="singleLevel"/>
    <w:tmpl w:val="EB25D7D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3ZDU4NDg0ZmE2MTAzZTY0MGM2NjhjYjJmNTRkNjEifQ=="/>
    <w:docVar w:name="KSO_WPS_MARK_KEY" w:val="c37faef4-fc86-4b38-b2ce-a4d826a7abea"/>
  </w:docVars>
  <w:rsids>
    <w:rsidRoot w:val="009707B1"/>
    <w:rsid w:val="000045B1"/>
    <w:rsid w:val="00007CFD"/>
    <w:rsid w:val="00010145"/>
    <w:rsid w:val="000104B8"/>
    <w:rsid w:val="0001333F"/>
    <w:rsid w:val="000218A8"/>
    <w:rsid w:val="00027F62"/>
    <w:rsid w:val="00034143"/>
    <w:rsid w:val="00037EBE"/>
    <w:rsid w:val="00050D2D"/>
    <w:rsid w:val="00052DC8"/>
    <w:rsid w:val="00061A6D"/>
    <w:rsid w:val="00070685"/>
    <w:rsid w:val="00075927"/>
    <w:rsid w:val="00092360"/>
    <w:rsid w:val="00094EEC"/>
    <w:rsid w:val="000A6AFB"/>
    <w:rsid w:val="000B0040"/>
    <w:rsid w:val="000B0F61"/>
    <w:rsid w:val="000B3ED1"/>
    <w:rsid w:val="000C2122"/>
    <w:rsid w:val="000C473A"/>
    <w:rsid w:val="000C5082"/>
    <w:rsid w:val="000C5F14"/>
    <w:rsid w:val="000D00BA"/>
    <w:rsid w:val="000E192C"/>
    <w:rsid w:val="000E766A"/>
    <w:rsid w:val="001048BB"/>
    <w:rsid w:val="0010569B"/>
    <w:rsid w:val="00105DEA"/>
    <w:rsid w:val="0011119A"/>
    <w:rsid w:val="0012146D"/>
    <w:rsid w:val="001256CC"/>
    <w:rsid w:val="00125801"/>
    <w:rsid w:val="00137E75"/>
    <w:rsid w:val="0017259D"/>
    <w:rsid w:val="00184E0A"/>
    <w:rsid w:val="00187F12"/>
    <w:rsid w:val="0019635F"/>
    <w:rsid w:val="00196CBA"/>
    <w:rsid w:val="001A0CFE"/>
    <w:rsid w:val="001B308F"/>
    <w:rsid w:val="001B3DDE"/>
    <w:rsid w:val="001C4BD3"/>
    <w:rsid w:val="001D4EA3"/>
    <w:rsid w:val="001D6DFF"/>
    <w:rsid w:val="001E5DAE"/>
    <w:rsid w:val="001F0B1F"/>
    <w:rsid w:val="001F3000"/>
    <w:rsid w:val="001F7047"/>
    <w:rsid w:val="0021116B"/>
    <w:rsid w:val="00215E73"/>
    <w:rsid w:val="00227045"/>
    <w:rsid w:val="00230291"/>
    <w:rsid w:val="0023311A"/>
    <w:rsid w:val="00242101"/>
    <w:rsid w:val="00243E54"/>
    <w:rsid w:val="00256E56"/>
    <w:rsid w:val="002577F1"/>
    <w:rsid w:val="00257D89"/>
    <w:rsid w:val="002602A0"/>
    <w:rsid w:val="00280229"/>
    <w:rsid w:val="0029623C"/>
    <w:rsid w:val="002A332E"/>
    <w:rsid w:val="002A3837"/>
    <w:rsid w:val="002B0AE3"/>
    <w:rsid w:val="002B299E"/>
    <w:rsid w:val="002C4DB7"/>
    <w:rsid w:val="002C545D"/>
    <w:rsid w:val="002C5BA3"/>
    <w:rsid w:val="002E3F5D"/>
    <w:rsid w:val="002E40AC"/>
    <w:rsid w:val="002F4724"/>
    <w:rsid w:val="002F5A1A"/>
    <w:rsid w:val="002F6A55"/>
    <w:rsid w:val="00310B55"/>
    <w:rsid w:val="003326ED"/>
    <w:rsid w:val="00343B99"/>
    <w:rsid w:val="0034427D"/>
    <w:rsid w:val="00351CAA"/>
    <w:rsid w:val="003529D4"/>
    <w:rsid w:val="00367458"/>
    <w:rsid w:val="00372711"/>
    <w:rsid w:val="00394767"/>
    <w:rsid w:val="0039761E"/>
    <w:rsid w:val="003C4DC0"/>
    <w:rsid w:val="003D05E0"/>
    <w:rsid w:val="003D219E"/>
    <w:rsid w:val="003D4C5A"/>
    <w:rsid w:val="003E144C"/>
    <w:rsid w:val="003F54A6"/>
    <w:rsid w:val="00401692"/>
    <w:rsid w:val="004046D7"/>
    <w:rsid w:val="00411951"/>
    <w:rsid w:val="00412920"/>
    <w:rsid w:val="00422616"/>
    <w:rsid w:val="00430D5B"/>
    <w:rsid w:val="0043135B"/>
    <w:rsid w:val="00432C7C"/>
    <w:rsid w:val="00461158"/>
    <w:rsid w:val="00476406"/>
    <w:rsid w:val="00480391"/>
    <w:rsid w:val="004855BD"/>
    <w:rsid w:val="004C1EA9"/>
    <w:rsid w:val="004D01DA"/>
    <w:rsid w:val="004D356C"/>
    <w:rsid w:val="004E0BEB"/>
    <w:rsid w:val="004E2EEA"/>
    <w:rsid w:val="004F6867"/>
    <w:rsid w:val="005060EB"/>
    <w:rsid w:val="00523AD1"/>
    <w:rsid w:val="005266CD"/>
    <w:rsid w:val="00531CC4"/>
    <w:rsid w:val="00535E7E"/>
    <w:rsid w:val="00540410"/>
    <w:rsid w:val="00541725"/>
    <w:rsid w:val="005420B3"/>
    <w:rsid w:val="00545E15"/>
    <w:rsid w:val="00554792"/>
    <w:rsid w:val="0056323F"/>
    <w:rsid w:val="005703F2"/>
    <w:rsid w:val="00571CA0"/>
    <w:rsid w:val="0058001A"/>
    <w:rsid w:val="00582833"/>
    <w:rsid w:val="005845B9"/>
    <w:rsid w:val="0059411A"/>
    <w:rsid w:val="005B336B"/>
    <w:rsid w:val="005C0608"/>
    <w:rsid w:val="005C260D"/>
    <w:rsid w:val="005C3012"/>
    <w:rsid w:val="005D2BED"/>
    <w:rsid w:val="005D6AD0"/>
    <w:rsid w:val="005E77A5"/>
    <w:rsid w:val="005F454D"/>
    <w:rsid w:val="005F683E"/>
    <w:rsid w:val="006150D7"/>
    <w:rsid w:val="006210DC"/>
    <w:rsid w:val="00621A44"/>
    <w:rsid w:val="006248BE"/>
    <w:rsid w:val="00625320"/>
    <w:rsid w:val="00627771"/>
    <w:rsid w:val="006305A3"/>
    <w:rsid w:val="006313EE"/>
    <w:rsid w:val="00632767"/>
    <w:rsid w:val="006563BA"/>
    <w:rsid w:val="006654EB"/>
    <w:rsid w:val="00670B94"/>
    <w:rsid w:val="00671A69"/>
    <w:rsid w:val="006724CF"/>
    <w:rsid w:val="006831EB"/>
    <w:rsid w:val="006C5BEC"/>
    <w:rsid w:val="006D24B1"/>
    <w:rsid w:val="006D2BD9"/>
    <w:rsid w:val="006D558E"/>
    <w:rsid w:val="006E01FC"/>
    <w:rsid w:val="006E0E3B"/>
    <w:rsid w:val="006E3317"/>
    <w:rsid w:val="006E3F98"/>
    <w:rsid w:val="006E4124"/>
    <w:rsid w:val="006F7ED2"/>
    <w:rsid w:val="007129EE"/>
    <w:rsid w:val="0071335D"/>
    <w:rsid w:val="007136AD"/>
    <w:rsid w:val="00724A1A"/>
    <w:rsid w:val="00734A91"/>
    <w:rsid w:val="00734C3F"/>
    <w:rsid w:val="007377D4"/>
    <w:rsid w:val="00747D23"/>
    <w:rsid w:val="0076043A"/>
    <w:rsid w:val="00760E9E"/>
    <w:rsid w:val="00761D16"/>
    <w:rsid w:val="00761D8E"/>
    <w:rsid w:val="007637C1"/>
    <w:rsid w:val="007673D2"/>
    <w:rsid w:val="00770E8E"/>
    <w:rsid w:val="00781D9D"/>
    <w:rsid w:val="00782BC6"/>
    <w:rsid w:val="007875BC"/>
    <w:rsid w:val="007B4B3A"/>
    <w:rsid w:val="007B7891"/>
    <w:rsid w:val="007C3605"/>
    <w:rsid w:val="007D7C82"/>
    <w:rsid w:val="007E106A"/>
    <w:rsid w:val="007E1648"/>
    <w:rsid w:val="008165F8"/>
    <w:rsid w:val="0082392E"/>
    <w:rsid w:val="00824C15"/>
    <w:rsid w:val="00830216"/>
    <w:rsid w:val="00844136"/>
    <w:rsid w:val="00846251"/>
    <w:rsid w:val="00850926"/>
    <w:rsid w:val="00860F3E"/>
    <w:rsid w:val="008660AC"/>
    <w:rsid w:val="00880632"/>
    <w:rsid w:val="008829D0"/>
    <w:rsid w:val="00884E8E"/>
    <w:rsid w:val="00885DB9"/>
    <w:rsid w:val="00892362"/>
    <w:rsid w:val="00892882"/>
    <w:rsid w:val="00894F25"/>
    <w:rsid w:val="008959A4"/>
    <w:rsid w:val="008A7C2F"/>
    <w:rsid w:val="008B1B4B"/>
    <w:rsid w:val="008B5FDE"/>
    <w:rsid w:val="008B649D"/>
    <w:rsid w:val="008C02DD"/>
    <w:rsid w:val="008C0DD3"/>
    <w:rsid w:val="008F0EEA"/>
    <w:rsid w:val="008F2990"/>
    <w:rsid w:val="00910A38"/>
    <w:rsid w:val="009113FC"/>
    <w:rsid w:val="0091774A"/>
    <w:rsid w:val="00921DD1"/>
    <w:rsid w:val="00925BA3"/>
    <w:rsid w:val="00930998"/>
    <w:rsid w:val="00934E60"/>
    <w:rsid w:val="00942070"/>
    <w:rsid w:val="00950508"/>
    <w:rsid w:val="00952F47"/>
    <w:rsid w:val="00953745"/>
    <w:rsid w:val="00960137"/>
    <w:rsid w:val="00961104"/>
    <w:rsid w:val="00964BC3"/>
    <w:rsid w:val="009707B1"/>
    <w:rsid w:val="00970F6A"/>
    <w:rsid w:val="00975193"/>
    <w:rsid w:val="00982A45"/>
    <w:rsid w:val="00983F2C"/>
    <w:rsid w:val="009911DC"/>
    <w:rsid w:val="00991F18"/>
    <w:rsid w:val="009931BD"/>
    <w:rsid w:val="00993C03"/>
    <w:rsid w:val="00994AC0"/>
    <w:rsid w:val="009A2254"/>
    <w:rsid w:val="009A44E5"/>
    <w:rsid w:val="009A6675"/>
    <w:rsid w:val="009A6BC6"/>
    <w:rsid w:val="009A7582"/>
    <w:rsid w:val="009B29E2"/>
    <w:rsid w:val="009C0277"/>
    <w:rsid w:val="009C17A1"/>
    <w:rsid w:val="009C2F4D"/>
    <w:rsid w:val="009C71DF"/>
    <w:rsid w:val="009D14A2"/>
    <w:rsid w:val="009D36C7"/>
    <w:rsid w:val="009E4E99"/>
    <w:rsid w:val="009F21BE"/>
    <w:rsid w:val="00A0410A"/>
    <w:rsid w:val="00A047E2"/>
    <w:rsid w:val="00A110D8"/>
    <w:rsid w:val="00A127B3"/>
    <w:rsid w:val="00A2332B"/>
    <w:rsid w:val="00A36AED"/>
    <w:rsid w:val="00A42A64"/>
    <w:rsid w:val="00A467CF"/>
    <w:rsid w:val="00A469F8"/>
    <w:rsid w:val="00A50AA7"/>
    <w:rsid w:val="00A56467"/>
    <w:rsid w:val="00A6480A"/>
    <w:rsid w:val="00A76116"/>
    <w:rsid w:val="00A8763C"/>
    <w:rsid w:val="00A91163"/>
    <w:rsid w:val="00A9438C"/>
    <w:rsid w:val="00AA0DFF"/>
    <w:rsid w:val="00AA37D6"/>
    <w:rsid w:val="00AA533F"/>
    <w:rsid w:val="00AA772A"/>
    <w:rsid w:val="00AC1FD3"/>
    <w:rsid w:val="00AC4884"/>
    <w:rsid w:val="00AD0501"/>
    <w:rsid w:val="00AD5ED4"/>
    <w:rsid w:val="00AD7EC5"/>
    <w:rsid w:val="00AE3900"/>
    <w:rsid w:val="00AF0E24"/>
    <w:rsid w:val="00AF2914"/>
    <w:rsid w:val="00AF6E79"/>
    <w:rsid w:val="00B0430E"/>
    <w:rsid w:val="00B2229B"/>
    <w:rsid w:val="00B2285D"/>
    <w:rsid w:val="00B261D1"/>
    <w:rsid w:val="00B30B6E"/>
    <w:rsid w:val="00B37C6D"/>
    <w:rsid w:val="00B6173C"/>
    <w:rsid w:val="00B63748"/>
    <w:rsid w:val="00B63F97"/>
    <w:rsid w:val="00B6465A"/>
    <w:rsid w:val="00B6554F"/>
    <w:rsid w:val="00B764EA"/>
    <w:rsid w:val="00B77061"/>
    <w:rsid w:val="00B77F8B"/>
    <w:rsid w:val="00B800E9"/>
    <w:rsid w:val="00B84C0A"/>
    <w:rsid w:val="00B91EFD"/>
    <w:rsid w:val="00B93B3E"/>
    <w:rsid w:val="00BA0044"/>
    <w:rsid w:val="00BA5D47"/>
    <w:rsid w:val="00BA7D4F"/>
    <w:rsid w:val="00BC00F3"/>
    <w:rsid w:val="00BC291D"/>
    <w:rsid w:val="00BC468D"/>
    <w:rsid w:val="00BC7A73"/>
    <w:rsid w:val="00BD25A1"/>
    <w:rsid w:val="00BD60BE"/>
    <w:rsid w:val="00BD662A"/>
    <w:rsid w:val="00C0058F"/>
    <w:rsid w:val="00C10B4F"/>
    <w:rsid w:val="00C110F4"/>
    <w:rsid w:val="00C12771"/>
    <w:rsid w:val="00C172A6"/>
    <w:rsid w:val="00C202C3"/>
    <w:rsid w:val="00C50799"/>
    <w:rsid w:val="00C5658D"/>
    <w:rsid w:val="00C71770"/>
    <w:rsid w:val="00C76C57"/>
    <w:rsid w:val="00C815F9"/>
    <w:rsid w:val="00C826D9"/>
    <w:rsid w:val="00CA0EAD"/>
    <w:rsid w:val="00CA18AF"/>
    <w:rsid w:val="00CA7797"/>
    <w:rsid w:val="00CB254F"/>
    <w:rsid w:val="00CB2DCB"/>
    <w:rsid w:val="00CB59DE"/>
    <w:rsid w:val="00CC221A"/>
    <w:rsid w:val="00CD0152"/>
    <w:rsid w:val="00CD3945"/>
    <w:rsid w:val="00CD4A2C"/>
    <w:rsid w:val="00CE3AF0"/>
    <w:rsid w:val="00CF190F"/>
    <w:rsid w:val="00D16C5C"/>
    <w:rsid w:val="00D17EE1"/>
    <w:rsid w:val="00D201E6"/>
    <w:rsid w:val="00D2115A"/>
    <w:rsid w:val="00D25DFD"/>
    <w:rsid w:val="00D32CD9"/>
    <w:rsid w:val="00D336C3"/>
    <w:rsid w:val="00D404DC"/>
    <w:rsid w:val="00D41117"/>
    <w:rsid w:val="00D52ACE"/>
    <w:rsid w:val="00D573FC"/>
    <w:rsid w:val="00D6067A"/>
    <w:rsid w:val="00D64087"/>
    <w:rsid w:val="00D70B17"/>
    <w:rsid w:val="00D802D2"/>
    <w:rsid w:val="00D844DC"/>
    <w:rsid w:val="00DA3458"/>
    <w:rsid w:val="00DA43BE"/>
    <w:rsid w:val="00DB73B9"/>
    <w:rsid w:val="00DC57E7"/>
    <w:rsid w:val="00DD03EA"/>
    <w:rsid w:val="00DD11C2"/>
    <w:rsid w:val="00DE602F"/>
    <w:rsid w:val="00DF262C"/>
    <w:rsid w:val="00DF3220"/>
    <w:rsid w:val="00E00F22"/>
    <w:rsid w:val="00E0186B"/>
    <w:rsid w:val="00E0750B"/>
    <w:rsid w:val="00E178CA"/>
    <w:rsid w:val="00E528B0"/>
    <w:rsid w:val="00E60758"/>
    <w:rsid w:val="00E7014F"/>
    <w:rsid w:val="00E726B0"/>
    <w:rsid w:val="00E727D0"/>
    <w:rsid w:val="00E83353"/>
    <w:rsid w:val="00E94D65"/>
    <w:rsid w:val="00E95BC0"/>
    <w:rsid w:val="00EA04EC"/>
    <w:rsid w:val="00EA416C"/>
    <w:rsid w:val="00EA7507"/>
    <w:rsid w:val="00EB5DAC"/>
    <w:rsid w:val="00EC1374"/>
    <w:rsid w:val="00EC5B1B"/>
    <w:rsid w:val="00EC6192"/>
    <w:rsid w:val="00ED762A"/>
    <w:rsid w:val="00EE57D6"/>
    <w:rsid w:val="00EF2DAB"/>
    <w:rsid w:val="00EF46C3"/>
    <w:rsid w:val="00EF5C6B"/>
    <w:rsid w:val="00F061E9"/>
    <w:rsid w:val="00F11CA5"/>
    <w:rsid w:val="00F17464"/>
    <w:rsid w:val="00F2734C"/>
    <w:rsid w:val="00F328ED"/>
    <w:rsid w:val="00F33DF4"/>
    <w:rsid w:val="00F36A6E"/>
    <w:rsid w:val="00F4043D"/>
    <w:rsid w:val="00F41569"/>
    <w:rsid w:val="00F56688"/>
    <w:rsid w:val="00F65D10"/>
    <w:rsid w:val="00F70A1A"/>
    <w:rsid w:val="00F75FC2"/>
    <w:rsid w:val="00F77560"/>
    <w:rsid w:val="00F808E8"/>
    <w:rsid w:val="00F8294B"/>
    <w:rsid w:val="00F9692F"/>
    <w:rsid w:val="00FB6905"/>
    <w:rsid w:val="00FB6D94"/>
    <w:rsid w:val="00FC2153"/>
    <w:rsid w:val="00FC5F0C"/>
    <w:rsid w:val="00FD002F"/>
    <w:rsid w:val="00FD0A52"/>
    <w:rsid w:val="00FE1A68"/>
    <w:rsid w:val="00FE6AE8"/>
    <w:rsid w:val="00FF3E75"/>
    <w:rsid w:val="02692AE6"/>
    <w:rsid w:val="028B38C4"/>
    <w:rsid w:val="060C4B01"/>
    <w:rsid w:val="083420ED"/>
    <w:rsid w:val="09AB5EF1"/>
    <w:rsid w:val="0A80786B"/>
    <w:rsid w:val="0AB47515"/>
    <w:rsid w:val="0BE10A0F"/>
    <w:rsid w:val="0C4867C4"/>
    <w:rsid w:val="0EBE0962"/>
    <w:rsid w:val="0FC0346E"/>
    <w:rsid w:val="10950A41"/>
    <w:rsid w:val="113D27B5"/>
    <w:rsid w:val="116A32BE"/>
    <w:rsid w:val="127C76E3"/>
    <w:rsid w:val="13B733A5"/>
    <w:rsid w:val="13E659B1"/>
    <w:rsid w:val="193E726F"/>
    <w:rsid w:val="19BF1C12"/>
    <w:rsid w:val="1A561651"/>
    <w:rsid w:val="1A9A1998"/>
    <w:rsid w:val="1ACA0728"/>
    <w:rsid w:val="1C674573"/>
    <w:rsid w:val="1D27048F"/>
    <w:rsid w:val="1E905236"/>
    <w:rsid w:val="20AC0F62"/>
    <w:rsid w:val="22723AE6"/>
    <w:rsid w:val="24703103"/>
    <w:rsid w:val="24BF011E"/>
    <w:rsid w:val="24E52C95"/>
    <w:rsid w:val="27890857"/>
    <w:rsid w:val="27E70AD2"/>
    <w:rsid w:val="28335F34"/>
    <w:rsid w:val="2995009F"/>
    <w:rsid w:val="29F309A2"/>
    <w:rsid w:val="2B675C27"/>
    <w:rsid w:val="2BFB7259"/>
    <w:rsid w:val="2C343278"/>
    <w:rsid w:val="2CBE44F7"/>
    <w:rsid w:val="2CE628BB"/>
    <w:rsid w:val="2CF241A1"/>
    <w:rsid w:val="2F4A02C4"/>
    <w:rsid w:val="2F4D5528"/>
    <w:rsid w:val="2F5B59C5"/>
    <w:rsid w:val="30121A9A"/>
    <w:rsid w:val="31E743E7"/>
    <w:rsid w:val="32275A12"/>
    <w:rsid w:val="33EE40A7"/>
    <w:rsid w:val="345F1918"/>
    <w:rsid w:val="34B00BC9"/>
    <w:rsid w:val="35D2691D"/>
    <w:rsid w:val="36064889"/>
    <w:rsid w:val="3667175C"/>
    <w:rsid w:val="36CB18FA"/>
    <w:rsid w:val="37AC3523"/>
    <w:rsid w:val="38214B80"/>
    <w:rsid w:val="3A156427"/>
    <w:rsid w:val="3A3F454B"/>
    <w:rsid w:val="3A8E01DB"/>
    <w:rsid w:val="3C237ED3"/>
    <w:rsid w:val="3D694839"/>
    <w:rsid w:val="3DFB09DB"/>
    <w:rsid w:val="3E5325C6"/>
    <w:rsid w:val="3EC86B10"/>
    <w:rsid w:val="3EDD43E2"/>
    <w:rsid w:val="3F5A4BE2"/>
    <w:rsid w:val="3F8C2EFD"/>
    <w:rsid w:val="3FA806EF"/>
    <w:rsid w:val="3FF974C4"/>
    <w:rsid w:val="41036525"/>
    <w:rsid w:val="415428DD"/>
    <w:rsid w:val="42AB727A"/>
    <w:rsid w:val="42AE3CA9"/>
    <w:rsid w:val="42CA554C"/>
    <w:rsid w:val="436B5D7F"/>
    <w:rsid w:val="43FB425B"/>
    <w:rsid w:val="440C5823"/>
    <w:rsid w:val="454F3F26"/>
    <w:rsid w:val="457E261E"/>
    <w:rsid w:val="46A05541"/>
    <w:rsid w:val="470E3ECC"/>
    <w:rsid w:val="49293049"/>
    <w:rsid w:val="4964602B"/>
    <w:rsid w:val="49D3061B"/>
    <w:rsid w:val="4A560FE6"/>
    <w:rsid w:val="4A9E62BB"/>
    <w:rsid w:val="4AF94826"/>
    <w:rsid w:val="4B895879"/>
    <w:rsid w:val="4DC24624"/>
    <w:rsid w:val="4F1E3A6A"/>
    <w:rsid w:val="4F551D3A"/>
    <w:rsid w:val="511E5D67"/>
    <w:rsid w:val="51324A3C"/>
    <w:rsid w:val="513444D8"/>
    <w:rsid w:val="515F2108"/>
    <w:rsid w:val="51A91D4A"/>
    <w:rsid w:val="526C7FE7"/>
    <w:rsid w:val="533C1422"/>
    <w:rsid w:val="537961D3"/>
    <w:rsid w:val="538D4A41"/>
    <w:rsid w:val="53A312FA"/>
    <w:rsid w:val="53A56748"/>
    <w:rsid w:val="548328F8"/>
    <w:rsid w:val="54922C34"/>
    <w:rsid w:val="56AB2B47"/>
    <w:rsid w:val="56B66F9E"/>
    <w:rsid w:val="593037D7"/>
    <w:rsid w:val="598679E0"/>
    <w:rsid w:val="59880E97"/>
    <w:rsid w:val="5A3B0686"/>
    <w:rsid w:val="5A5D5558"/>
    <w:rsid w:val="5C1C245B"/>
    <w:rsid w:val="5C7F72A3"/>
    <w:rsid w:val="5CB10F03"/>
    <w:rsid w:val="5D6D52D6"/>
    <w:rsid w:val="5DA60650"/>
    <w:rsid w:val="5DBA7B13"/>
    <w:rsid w:val="5E3F5E1E"/>
    <w:rsid w:val="5E86261F"/>
    <w:rsid w:val="5EE536CB"/>
    <w:rsid w:val="5F5768A7"/>
    <w:rsid w:val="60BF5B6D"/>
    <w:rsid w:val="60CF2BE8"/>
    <w:rsid w:val="61616C24"/>
    <w:rsid w:val="61F07FA8"/>
    <w:rsid w:val="620A44A0"/>
    <w:rsid w:val="62E61243"/>
    <w:rsid w:val="633049F2"/>
    <w:rsid w:val="634C3523"/>
    <w:rsid w:val="63612F0B"/>
    <w:rsid w:val="64580CB0"/>
    <w:rsid w:val="65666529"/>
    <w:rsid w:val="658904F7"/>
    <w:rsid w:val="67BD2A93"/>
    <w:rsid w:val="68692862"/>
    <w:rsid w:val="697A64A5"/>
    <w:rsid w:val="69CB37D4"/>
    <w:rsid w:val="6A894DD0"/>
    <w:rsid w:val="6A965FDC"/>
    <w:rsid w:val="6B2C2147"/>
    <w:rsid w:val="6BC404DB"/>
    <w:rsid w:val="6C8E2897"/>
    <w:rsid w:val="6CC938CF"/>
    <w:rsid w:val="6CCA7D73"/>
    <w:rsid w:val="6D9C0FE4"/>
    <w:rsid w:val="6F4D336D"/>
    <w:rsid w:val="6FD40036"/>
    <w:rsid w:val="70B14CA6"/>
    <w:rsid w:val="714608F5"/>
    <w:rsid w:val="71B92164"/>
    <w:rsid w:val="728D7966"/>
    <w:rsid w:val="735A61C9"/>
    <w:rsid w:val="739420B8"/>
    <w:rsid w:val="739A5E7A"/>
    <w:rsid w:val="73AF26D7"/>
    <w:rsid w:val="75C10D37"/>
    <w:rsid w:val="76256DCD"/>
    <w:rsid w:val="774527E5"/>
    <w:rsid w:val="77EB7DB5"/>
    <w:rsid w:val="79B32BB9"/>
    <w:rsid w:val="7A1217FE"/>
    <w:rsid w:val="7A9920B1"/>
    <w:rsid w:val="7B0A3F6D"/>
    <w:rsid w:val="7B6C2425"/>
    <w:rsid w:val="7CE326FF"/>
    <w:rsid w:val="7E002EC9"/>
    <w:rsid w:val="7E9C20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0"/>
    <w:pPr>
      <w:keepNext/>
      <w:keepLines/>
      <w:spacing w:before="120" w:after="120" w:line="360" w:lineRule="auto"/>
      <w:jc w:val="left"/>
      <w:outlineLvl w:val="1"/>
    </w:pPr>
    <w:rPr>
      <w:rFonts w:ascii="Arial" w:hAnsi="Arial"/>
      <w:bCs/>
      <w:kern w:val="0"/>
      <w:sz w:val="20"/>
      <w:szCs w:val="32"/>
    </w:rPr>
  </w:style>
  <w:style w:type="paragraph" w:styleId="5">
    <w:name w:val="heading 3"/>
    <w:basedOn w:val="1"/>
    <w:next w:val="1"/>
    <w:qFormat/>
    <w:uiPriority w:val="0"/>
    <w:pPr>
      <w:keepNext/>
      <w:keepLines/>
      <w:spacing w:before="260" w:after="260" w:line="416" w:lineRule="auto"/>
      <w:outlineLvl w:val="2"/>
    </w:pPr>
    <w:rPr>
      <w:rFonts w:eastAsia="黑体"/>
      <w:b/>
      <w:bCs/>
      <w:sz w:val="28"/>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0"/>
    <w:pPr>
      <w:spacing w:before="120"/>
    </w:pPr>
    <w:rPr>
      <w:rFonts w:ascii="Cambria" w:hAnsi="Cambria"/>
      <w:sz w:val="24"/>
      <w:szCs w:val="24"/>
    </w:rPr>
  </w:style>
  <w:style w:type="paragraph" w:styleId="6">
    <w:name w:val="Document Map"/>
    <w:basedOn w:val="1"/>
    <w:link w:val="25"/>
    <w:semiHidden/>
    <w:unhideWhenUsed/>
    <w:qFormat/>
    <w:uiPriority w:val="99"/>
    <w:rPr>
      <w:rFonts w:ascii="宋体"/>
      <w:sz w:val="18"/>
      <w:szCs w:val="18"/>
    </w:rPr>
  </w:style>
  <w:style w:type="paragraph" w:styleId="7">
    <w:name w:val="annotation text"/>
    <w:basedOn w:val="1"/>
    <w:link w:val="35"/>
    <w:semiHidden/>
    <w:unhideWhenUsed/>
    <w:qFormat/>
    <w:uiPriority w:val="99"/>
    <w:pPr>
      <w:jc w:val="left"/>
    </w:pPr>
  </w:style>
  <w:style w:type="paragraph" w:styleId="8">
    <w:name w:val="Body Text 3"/>
    <w:basedOn w:val="1"/>
    <w:link w:val="22"/>
    <w:qFormat/>
    <w:uiPriority w:val="0"/>
    <w:pPr>
      <w:spacing w:after="120"/>
    </w:pPr>
    <w:rPr>
      <w:sz w:val="16"/>
      <w:szCs w:val="16"/>
    </w:rPr>
  </w:style>
  <w:style w:type="paragraph" w:styleId="9">
    <w:name w:val="Body Text"/>
    <w:basedOn w:val="1"/>
    <w:link w:val="28"/>
    <w:qFormat/>
    <w:uiPriority w:val="0"/>
    <w:pPr>
      <w:spacing w:after="120"/>
    </w:pPr>
    <w:rPr>
      <w:rFonts w:asciiTheme="minorHAnsi" w:hAnsiTheme="minorHAnsi" w:eastAsiaTheme="minorEastAsia" w:cstheme="minorBidi"/>
      <w:szCs w:val="24"/>
    </w:rPr>
  </w:style>
  <w:style w:type="paragraph" w:styleId="10">
    <w:name w:val="Plain Text"/>
    <w:basedOn w:val="1"/>
    <w:link w:val="21"/>
    <w:qFormat/>
    <w:uiPriority w:val="0"/>
    <w:rPr>
      <w:rFonts w:ascii="宋体" w:hAnsi="Courier New" w:cstheme="minorBidi"/>
      <w:szCs w:val="22"/>
    </w:rPr>
  </w:style>
  <w:style w:type="paragraph" w:styleId="11">
    <w:name w:val="Balloon Text"/>
    <w:basedOn w:val="1"/>
    <w:link w:val="34"/>
    <w:semiHidden/>
    <w:unhideWhenUsed/>
    <w:qFormat/>
    <w:uiPriority w:val="99"/>
    <w:rPr>
      <w:sz w:val="18"/>
      <w:szCs w:val="18"/>
    </w:rPr>
  </w:style>
  <w:style w:type="paragraph" w:styleId="12">
    <w:name w:val="footer"/>
    <w:basedOn w:val="1"/>
    <w:link w:val="20"/>
    <w:unhideWhenUsed/>
    <w:qFormat/>
    <w:uiPriority w:val="99"/>
    <w:pPr>
      <w:tabs>
        <w:tab w:val="center" w:pos="4153"/>
        <w:tab w:val="right" w:pos="8306"/>
      </w:tabs>
      <w:snapToGrid w:val="0"/>
      <w:jc w:val="left"/>
    </w:pPr>
    <w:rPr>
      <w:sz w:val="18"/>
      <w:szCs w:val="18"/>
    </w:rPr>
  </w:style>
  <w:style w:type="paragraph" w:styleId="13">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annotation subject"/>
    <w:basedOn w:val="7"/>
    <w:next w:val="7"/>
    <w:link w:val="36"/>
    <w:semiHidden/>
    <w:unhideWhenUsed/>
    <w:qFormat/>
    <w:uiPriority w:val="99"/>
    <w:rPr>
      <w:b/>
      <w:bCs/>
    </w:rPr>
  </w:style>
  <w:style w:type="character" w:styleId="18">
    <w:name w:val="annotation reference"/>
    <w:basedOn w:val="17"/>
    <w:semiHidden/>
    <w:unhideWhenUsed/>
    <w:qFormat/>
    <w:uiPriority w:val="99"/>
    <w:rPr>
      <w:sz w:val="21"/>
      <w:szCs w:val="21"/>
    </w:rPr>
  </w:style>
  <w:style w:type="character" w:customStyle="1" w:styleId="19">
    <w:name w:val="页眉 Char"/>
    <w:basedOn w:val="17"/>
    <w:link w:val="13"/>
    <w:qFormat/>
    <w:uiPriority w:val="99"/>
    <w:rPr>
      <w:sz w:val="18"/>
      <w:szCs w:val="18"/>
    </w:rPr>
  </w:style>
  <w:style w:type="character" w:customStyle="1" w:styleId="20">
    <w:name w:val="页脚 Char"/>
    <w:basedOn w:val="17"/>
    <w:link w:val="12"/>
    <w:qFormat/>
    <w:uiPriority w:val="99"/>
    <w:rPr>
      <w:sz w:val="18"/>
      <w:szCs w:val="18"/>
    </w:rPr>
  </w:style>
  <w:style w:type="character" w:customStyle="1" w:styleId="21">
    <w:name w:val="纯文本 Char"/>
    <w:link w:val="10"/>
    <w:qFormat/>
    <w:uiPriority w:val="0"/>
    <w:rPr>
      <w:rFonts w:ascii="宋体" w:hAnsi="Courier New" w:eastAsia="宋体"/>
    </w:rPr>
  </w:style>
  <w:style w:type="character" w:customStyle="1" w:styleId="22">
    <w:name w:val="正文文本 3 Char"/>
    <w:basedOn w:val="17"/>
    <w:link w:val="8"/>
    <w:qFormat/>
    <w:uiPriority w:val="0"/>
    <w:rPr>
      <w:rFonts w:ascii="Calibri" w:hAnsi="Calibri" w:eastAsia="宋体" w:cs="Times New Roman"/>
      <w:sz w:val="16"/>
      <w:szCs w:val="16"/>
    </w:rPr>
  </w:style>
  <w:style w:type="paragraph" w:styleId="23">
    <w:name w:val="List Paragraph"/>
    <w:basedOn w:val="1"/>
    <w:qFormat/>
    <w:uiPriority w:val="99"/>
    <w:pPr>
      <w:ind w:firstLine="420" w:firstLineChars="200"/>
    </w:pPr>
    <w:rPr>
      <w:szCs w:val="24"/>
    </w:rPr>
  </w:style>
  <w:style w:type="character" w:customStyle="1" w:styleId="24">
    <w:name w:val="纯文本 Char1"/>
    <w:basedOn w:val="17"/>
    <w:semiHidden/>
    <w:qFormat/>
    <w:uiPriority w:val="99"/>
    <w:rPr>
      <w:rFonts w:ascii="宋体" w:hAnsi="Courier New" w:eastAsia="宋体" w:cs="Courier New"/>
      <w:szCs w:val="21"/>
    </w:rPr>
  </w:style>
  <w:style w:type="character" w:customStyle="1" w:styleId="25">
    <w:name w:val="文档结构图 Char"/>
    <w:basedOn w:val="17"/>
    <w:link w:val="6"/>
    <w:semiHidden/>
    <w:qFormat/>
    <w:uiPriority w:val="99"/>
    <w:rPr>
      <w:rFonts w:ascii="宋体" w:hAnsi="Calibri" w:eastAsia="宋体" w:cs="Times New Roman"/>
      <w:sz w:val="18"/>
      <w:szCs w:val="18"/>
    </w:rPr>
  </w:style>
  <w:style w:type="paragraph" w:customStyle="1" w:styleId="26">
    <w:name w:val="列出段落1"/>
    <w:basedOn w:val="1"/>
    <w:qFormat/>
    <w:uiPriority w:val="99"/>
    <w:pPr>
      <w:ind w:firstLine="420" w:firstLineChars="200"/>
    </w:pPr>
    <w:rPr>
      <w:rFonts w:ascii="Times New Roman" w:hAnsi="Times New Roman"/>
      <w:szCs w:val="24"/>
    </w:rPr>
  </w:style>
  <w:style w:type="paragraph" w:customStyle="1" w:styleId="27">
    <w:name w:val="_Style 18"/>
    <w:basedOn w:val="1"/>
    <w:next w:val="23"/>
    <w:qFormat/>
    <w:uiPriority w:val="99"/>
    <w:pPr>
      <w:ind w:firstLine="420" w:firstLineChars="200"/>
    </w:pPr>
    <w:rPr>
      <w:rFonts w:ascii="Times New Roman" w:hAnsi="Times New Roman"/>
      <w:szCs w:val="24"/>
    </w:rPr>
  </w:style>
  <w:style w:type="character" w:customStyle="1" w:styleId="28">
    <w:name w:val="正文文本 Char1"/>
    <w:link w:val="9"/>
    <w:qFormat/>
    <w:uiPriority w:val="0"/>
    <w:rPr>
      <w:szCs w:val="24"/>
    </w:rPr>
  </w:style>
  <w:style w:type="character" w:customStyle="1" w:styleId="29">
    <w:name w:val="正文文本 Char"/>
    <w:basedOn w:val="17"/>
    <w:semiHidden/>
    <w:qFormat/>
    <w:uiPriority w:val="99"/>
    <w:rPr>
      <w:rFonts w:ascii="Calibri" w:hAnsi="Calibri" w:eastAsia="宋体" w:cs="Times New Roman"/>
      <w:szCs w:val="20"/>
    </w:rPr>
  </w:style>
  <w:style w:type="character" w:customStyle="1" w:styleId="30">
    <w:name w:val="标题 2 Char"/>
    <w:basedOn w:val="17"/>
    <w:link w:val="4"/>
    <w:qFormat/>
    <w:uiPriority w:val="0"/>
    <w:rPr>
      <w:rFonts w:ascii="Arial" w:hAnsi="Arial" w:eastAsia="宋体" w:cs="Times New Roman"/>
      <w:bCs/>
      <w:kern w:val="0"/>
      <w:sz w:val="20"/>
      <w:szCs w:val="32"/>
    </w:rPr>
  </w:style>
  <w:style w:type="character" w:customStyle="1" w:styleId="31">
    <w:name w:val="标题 1 Char"/>
    <w:basedOn w:val="17"/>
    <w:link w:val="3"/>
    <w:qFormat/>
    <w:uiPriority w:val="9"/>
    <w:rPr>
      <w:rFonts w:ascii="Calibri" w:hAnsi="Calibri" w:eastAsia="宋体" w:cs="Times New Roman"/>
      <w:b/>
      <w:bCs/>
      <w:kern w:val="44"/>
      <w:sz w:val="44"/>
      <w:szCs w:val="44"/>
    </w:rPr>
  </w:style>
  <w:style w:type="character" w:customStyle="1" w:styleId="32">
    <w:name w:val="页眉 字符1"/>
    <w:autoRedefine/>
    <w:qFormat/>
    <w:uiPriority w:val="99"/>
    <w:rPr>
      <w:rFonts w:ascii="Calibri" w:hAnsi="Calibri"/>
      <w:sz w:val="18"/>
      <w:szCs w:val="18"/>
      <w:lang w:val="zh-CN"/>
    </w:rPr>
  </w:style>
  <w:style w:type="paragraph" w:customStyle="1" w:styleId="33">
    <w:name w:val="修订1"/>
    <w:hidden/>
    <w:unhideWhenUsed/>
    <w:qFormat/>
    <w:uiPriority w:val="99"/>
    <w:rPr>
      <w:rFonts w:ascii="Calibri" w:hAnsi="Calibri" w:eastAsia="宋体" w:cs="Times New Roman"/>
      <w:kern w:val="2"/>
      <w:sz w:val="21"/>
      <w:lang w:val="en-US" w:eastAsia="zh-CN" w:bidi="ar-SA"/>
    </w:rPr>
  </w:style>
  <w:style w:type="character" w:customStyle="1" w:styleId="34">
    <w:name w:val="批注框文本 Char"/>
    <w:basedOn w:val="17"/>
    <w:link w:val="11"/>
    <w:semiHidden/>
    <w:qFormat/>
    <w:uiPriority w:val="99"/>
    <w:rPr>
      <w:rFonts w:ascii="Calibri" w:hAnsi="Calibri"/>
      <w:kern w:val="2"/>
      <w:sz w:val="18"/>
      <w:szCs w:val="18"/>
    </w:rPr>
  </w:style>
  <w:style w:type="character" w:customStyle="1" w:styleId="35">
    <w:name w:val="批注文字 Char"/>
    <w:basedOn w:val="17"/>
    <w:link w:val="7"/>
    <w:semiHidden/>
    <w:qFormat/>
    <w:uiPriority w:val="99"/>
    <w:rPr>
      <w:rFonts w:ascii="Calibri" w:hAnsi="Calibri"/>
      <w:kern w:val="2"/>
      <w:sz w:val="21"/>
    </w:rPr>
  </w:style>
  <w:style w:type="character" w:customStyle="1" w:styleId="36">
    <w:name w:val="批注主题 Char"/>
    <w:basedOn w:val="35"/>
    <w:link w:val="15"/>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A2986-E6C4-4012-903D-D3D22CC5D9FE}">
  <ds:schemaRefs/>
</ds:datastoreItem>
</file>

<file path=docProps/app.xml><?xml version="1.0" encoding="utf-8"?>
<Properties xmlns="http://schemas.openxmlformats.org/officeDocument/2006/extended-properties" xmlns:vt="http://schemas.openxmlformats.org/officeDocument/2006/docPropsVTypes">
  <Template>Normal</Template>
  <Pages>26</Pages>
  <Words>11747</Words>
  <Characters>12404</Characters>
  <Lines>120</Lines>
  <Paragraphs>33</Paragraphs>
  <TotalTime>6</TotalTime>
  <ScaleCrop>false</ScaleCrop>
  <LinksUpToDate>false</LinksUpToDate>
  <CharactersWithSpaces>12695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2025-08-29T07:52:00Z</dcterms:created>
  <dc:creator>mi Jess</dc:creator>
  <cp:lastModifiedBy>Darren</cp:lastModifiedBy>
  <dcterms:modified xsi:type="dcterms:W3CDTF">2025-09-18T09:16:07Z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85CD3F09A16F42CF8D5F5A7ADD76A0AB_13</vt:lpwstr>
  </property>
  <property fmtid="{D5CDD505-2E9C-101B-9397-08002B2CF9AE}" pid="4" name="KSOTemplateDocerSaveRecord">
    <vt:lpwstr>eyJoZGlkIjoiNjc3ZDU4NDg0ZmE2MTAzZTY0MGM2NjhjYjJmNTRkNjEiLCJ1c2VySWQiOiI3MjEwOTQ1MTcifQ==</vt:lpwstr>
  </property>
</Properties>
</file>